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DFA26C">
      <w:pPr>
        <w:jc w:val="center"/>
        <w:rPr>
          <w:rFonts w:hint="eastAsia" w:ascii="Times New Roman" w:hAnsi="Times New Roman" w:eastAsia="宋体"/>
          <w:b/>
          <w:bCs/>
          <w:sz w:val="44"/>
          <w:szCs w:val="44"/>
          <w:lang w:val="en-US" w:eastAsia="zh-CN"/>
        </w:rPr>
      </w:pPr>
      <w:r>
        <w:rPr>
          <w:rFonts w:hint="eastAsia" w:ascii="Times New Roman" w:hAnsi="Times New Roman"/>
          <w:b/>
          <w:bCs/>
          <w:sz w:val="44"/>
          <w:szCs w:val="44"/>
          <w:lang w:val="en-US" w:eastAsia="zh-CN"/>
        </w:rPr>
        <w:t xml:space="preserve">第一部分 </w:t>
      </w:r>
      <w:r>
        <w:rPr>
          <w:rFonts w:ascii="Times New Roman" w:hAnsi="Times New Roman"/>
          <w:b/>
          <w:bCs/>
          <w:sz w:val="44"/>
          <w:szCs w:val="44"/>
        </w:rPr>
        <w:t>评标办法</w:t>
      </w:r>
    </w:p>
    <w:p w14:paraId="2A862B9B">
      <w:pPr>
        <w:keepNext w:val="0"/>
        <w:keepLines w:val="0"/>
        <w:pageBreakBefore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综合评分法（满分100分）</w:t>
      </w:r>
    </w:p>
    <w:p w14:paraId="46FE0ED1">
      <w:pPr>
        <w:keepNext w:val="0"/>
        <w:keepLines w:val="0"/>
        <w:pageBreakBefore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（一）投标报价（</w:t>
      </w:r>
      <w:r>
        <w:rPr>
          <w:rFonts w:hint="eastAsia" w:ascii="仿宋" w:hAnsi="仿宋" w:eastAsia="仿宋" w:cs="仿宋"/>
          <w:sz w:val="32"/>
          <w:szCs w:val="32"/>
          <w:lang w:val="en-US" w:eastAsia="zh-CN"/>
        </w:rPr>
        <w:t>1</w:t>
      </w:r>
      <w:r>
        <w:rPr>
          <w:rFonts w:hint="eastAsia" w:ascii="仿宋" w:hAnsi="仿宋" w:eastAsia="仿宋" w:cs="仿宋"/>
          <w:sz w:val="32"/>
          <w:szCs w:val="32"/>
        </w:rPr>
        <w:t>0分）</w:t>
      </w:r>
    </w:p>
    <w:p w14:paraId="1F4F4F38">
      <w:pPr>
        <w:keepNext w:val="0"/>
        <w:keepLines w:val="0"/>
        <w:pageBreakBefore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采用低价优先法：</w:t>
      </w:r>
    </w:p>
    <w:p w14:paraId="35E851AE">
      <w:pPr>
        <w:keepNext w:val="0"/>
        <w:keepLines w:val="0"/>
        <w:pageBreakBefore w:val="0"/>
        <w:kinsoku/>
        <w:wordWrap/>
        <w:overflowPunct/>
        <w:topLinePunct w:val="0"/>
        <w:autoSpaceDE/>
        <w:autoSpaceDN/>
        <w:bidi w:val="0"/>
        <w:adjustRightInd/>
        <w:snapToGrid/>
        <w:spacing w:line="4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满足要求的最低报价为基准价</w:t>
      </w:r>
      <w:r>
        <w:rPr>
          <w:rFonts w:hint="eastAsia" w:ascii="仿宋" w:hAnsi="仿宋" w:eastAsia="仿宋" w:cs="仿宋"/>
          <w:sz w:val="32"/>
          <w:szCs w:val="32"/>
          <w:lang w:eastAsia="zh-CN"/>
        </w:rPr>
        <w:t>，</w:t>
      </w:r>
      <w:r>
        <w:rPr>
          <w:rFonts w:hint="eastAsia" w:ascii="仿宋" w:hAnsi="仿宋" w:eastAsia="仿宋" w:cs="仿宋"/>
          <w:sz w:val="32"/>
          <w:szCs w:val="32"/>
        </w:rPr>
        <w:t>得</w:t>
      </w:r>
      <w:r>
        <w:rPr>
          <w:rFonts w:hint="eastAsia" w:ascii="仿宋" w:hAnsi="仿宋" w:eastAsia="仿宋" w:cs="仿宋"/>
          <w:sz w:val="32"/>
          <w:szCs w:val="32"/>
          <w:lang w:val="en-US" w:eastAsia="zh-CN"/>
        </w:rPr>
        <w:t>1</w:t>
      </w:r>
      <w:r>
        <w:rPr>
          <w:rFonts w:hint="eastAsia" w:ascii="仿宋" w:hAnsi="仿宋" w:eastAsia="仿宋" w:cs="仿宋"/>
          <w:sz w:val="32"/>
          <w:szCs w:val="32"/>
        </w:rPr>
        <w:t>0分；</w:t>
      </w:r>
    </w:p>
    <w:p w14:paraId="2DA98DC6">
      <w:pPr>
        <w:keepNext w:val="0"/>
        <w:keepLines w:val="0"/>
        <w:pageBreakBefore w:val="0"/>
        <w:kinsoku/>
        <w:wordWrap/>
        <w:overflowPunct/>
        <w:topLinePunct w:val="0"/>
        <w:autoSpaceDE/>
        <w:autoSpaceDN/>
        <w:bidi w:val="0"/>
        <w:adjustRightInd/>
        <w:snapToGrid/>
        <w:spacing w:line="4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其他报价得分=（基准价/报价）×</w:t>
      </w:r>
      <w:r>
        <w:rPr>
          <w:rFonts w:hint="eastAsia" w:ascii="仿宋" w:hAnsi="仿宋" w:eastAsia="仿宋" w:cs="仿宋"/>
          <w:sz w:val="32"/>
          <w:szCs w:val="32"/>
          <w:lang w:val="en-US" w:eastAsia="zh-CN"/>
        </w:rPr>
        <w:t>1</w:t>
      </w:r>
      <w:r>
        <w:rPr>
          <w:rFonts w:hint="eastAsia" w:ascii="仿宋" w:hAnsi="仿宋" w:eastAsia="仿宋" w:cs="仿宋"/>
          <w:sz w:val="32"/>
          <w:szCs w:val="32"/>
        </w:rPr>
        <w:t>0；</w:t>
      </w:r>
    </w:p>
    <w:p w14:paraId="51B768F1">
      <w:pPr>
        <w:keepNext w:val="0"/>
        <w:keepLines w:val="0"/>
        <w:pageBreakBefore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（二）技术部分（</w:t>
      </w:r>
      <w:r>
        <w:rPr>
          <w:rFonts w:hint="eastAsia" w:ascii="仿宋" w:hAnsi="仿宋" w:eastAsia="仿宋" w:cs="仿宋"/>
          <w:sz w:val="32"/>
          <w:szCs w:val="32"/>
          <w:lang w:val="en-US" w:eastAsia="zh-CN"/>
        </w:rPr>
        <w:t>75</w:t>
      </w:r>
      <w:r>
        <w:rPr>
          <w:rFonts w:hint="eastAsia" w:ascii="仿宋" w:hAnsi="仿宋" w:eastAsia="仿宋" w:cs="仿宋"/>
          <w:sz w:val="32"/>
          <w:szCs w:val="32"/>
        </w:rPr>
        <w:t>分）</w:t>
      </w:r>
    </w:p>
    <w:tbl>
      <w:tblPr>
        <w:tblStyle w:val="10"/>
        <w:tblW w:w="830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554"/>
        <w:gridCol w:w="1065"/>
        <w:gridCol w:w="5687"/>
      </w:tblGrid>
      <w:tr w14:paraId="0157F7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554" w:type="dxa"/>
            <w:vAlign w:val="center"/>
          </w:tcPr>
          <w:p w14:paraId="2EAE5146">
            <w:pPr>
              <w:keepNext w:val="0"/>
              <w:keepLines w:val="0"/>
              <w:pageBreakBefore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评审项</w:t>
            </w:r>
          </w:p>
        </w:tc>
        <w:tc>
          <w:tcPr>
            <w:tcW w:w="1065" w:type="dxa"/>
            <w:vAlign w:val="center"/>
          </w:tcPr>
          <w:p w14:paraId="6C723F78">
            <w:pPr>
              <w:keepNext w:val="0"/>
              <w:keepLines w:val="0"/>
              <w:pageBreakBefore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分值</w:t>
            </w:r>
          </w:p>
        </w:tc>
        <w:tc>
          <w:tcPr>
            <w:tcW w:w="5687" w:type="dxa"/>
            <w:vAlign w:val="center"/>
          </w:tcPr>
          <w:p w14:paraId="5DEF43BA">
            <w:pPr>
              <w:keepNext w:val="0"/>
              <w:keepLines w:val="0"/>
              <w:pageBreakBefore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评分标准</w:t>
            </w:r>
          </w:p>
        </w:tc>
      </w:tr>
      <w:tr w14:paraId="3556AD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4" w:type="dxa"/>
            <w:vAlign w:val="center"/>
          </w:tcPr>
          <w:p w14:paraId="343BEBB7">
            <w:pPr>
              <w:pStyle w:val="12"/>
              <w:keepNext w:val="0"/>
              <w:keepLines w:val="0"/>
              <w:pageBreakBefore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服务响应</w:t>
            </w:r>
          </w:p>
        </w:tc>
        <w:tc>
          <w:tcPr>
            <w:tcW w:w="1065" w:type="dxa"/>
            <w:vAlign w:val="center"/>
          </w:tcPr>
          <w:p w14:paraId="73049C93">
            <w:pPr>
              <w:pStyle w:val="12"/>
              <w:keepNext w:val="0"/>
              <w:keepLines w:val="0"/>
              <w:pageBreakBefore w:val="0"/>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45.00</w:t>
            </w:r>
          </w:p>
        </w:tc>
        <w:tc>
          <w:tcPr>
            <w:tcW w:w="5687" w:type="dxa"/>
            <w:vAlign w:val="center"/>
          </w:tcPr>
          <w:p w14:paraId="721EB1FF">
            <w:pPr>
              <w:pStyle w:val="12"/>
              <w:keepNext w:val="0"/>
              <w:keepLines w:val="0"/>
              <w:pageBreakBefore w:val="0"/>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根据“方案编制技术和服务要求”（详见第二部分）的各项响应情况进行打分，完全满足技术参数要求的得45分，其中标注“★”号的参数为实质性条款，出现负偏离视为未实质性响应比选文件要求，按无效响应处理；其余的参数（共21项）每负偏离一项扣2.15分，扣完为止，正偏离不加分。</w:t>
            </w:r>
          </w:p>
        </w:tc>
      </w:tr>
      <w:tr w14:paraId="57FDA8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4" w:type="dxa"/>
            <w:vAlign w:val="center"/>
          </w:tcPr>
          <w:p w14:paraId="27023F73">
            <w:pPr>
              <w:pStyle w:val="12"/>
              <w:keepNext w:val="0"/>
              <w:keepLines w:val="0"/>
              <w:pageBreakBefore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项目理解</w:t>
            </w:r>
          </w:p>
        </w:tc>
        <w:tc>
          <w:tcPr>
            <w:tcW w:w="1065" w:type="dxa"/>
            <w:vAlign w:val="center"/>
          </w:tcPr>
          <w:p w14:paraId="3AB4FE5B">
            <w:pPr>
              <w:pStyle w:val="12"/>
              <w:keepNext w:val="0"/>
              <w:keepLines w:val="0"/>
              <w:pageBreakBefore w:val="0"/>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3.00</w:t>
            </w:r>
          </w:p>
        </w:tc>
        <w:tc>
          <w:tcPr>
            <w:tcW w:w="5687" w:type="dxa"/>
            <w:vAlign w:val="center"/>
          </w:tcPr>
          <w:p w14:paraId="58200921">
            <w:pPr>
              <w:pStyle w:val="12"/>
              <w:keepNext w:val="0"/>
              <w:keepLines w:val="0"/>
              <w:pageBreakBefore w:val="0"/>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根据供应商对本项目的了解情况，由比选小组进行评分：①对本项目了解透彻、分析符合本项目需求的，得3分；②对本项目了解比较透彻、分析基本符合本项目需求的，得2.8分；③对本项目了解情况一般、分析大体符合实际情况的，得2.6分；④与项目实际情况不符合及未提供的不得分。</w:t>
            </w:r>
          </w:p>
        </w:tc>
      </w:tr>
      <w:tr w14:paraId="265828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4" w:type="dxa"/>
            <w:vAlign w:val="center"/>
          </w:tcPr>
          <w:p w14:paraId="117F395F">
            <w:pPr>
              <w:pStyle w:val="12"/>
              <w:keepNext w:val="0"/>
              <w:keepLines w:val="0"/>
              <w:pageBreakBefore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调查分析</w:t>
            </w:r>
          </w:p>
        </w:tc>
        <w:tc>
          <w:tcPr>
            <w:tcW w:w="1065" w:type="dxa"/>
            <w:vAlign w:val="center"/>
          </w:tcPr>
          <w:p w14:paraId="7F77D67C">
            <w:pPr>
              <w:pStyle w:val="12"/>
              <w:keepNext w:val="0"/>
              <w:keepLines w:val="0"/>
              <w:pageBreakBefore w:val="0"/>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3.00</w:t>
            </w:r>
          </w:p>
        </w:tc>
        <w:tc>
          <w:tcPr>
            <w:tcW w:w="5687" w:type="dxa"/>
            <w:vAlign w:val="center"/>
          </w:tcPr>
          <w:p w14:paraId="163C1A46">
            <w:pPr>
              <w:pStyle w:val="12"/>
              <w:keepNext w:val="0"/>
              <w:keepLines w:val="0"/>
              <w:pageBreakBefore w:val="0"/>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根据供应商对本项目的调查分析内容，由比选小组进行评分：①调查分析内容完整性好、合理性好、完全满足本项目需求的，得3分；②调查分析内容完整性较好、合理性较好的、基本满足本项目需求的，得2.8分；③调查分析完整性一般、合理性一般的，得2.6分；④调查分析完整性差、与项目实际情况不符合及未提供的不得分。</w:t>
            </w:r>
          </w:p>
        </w:tc>
      </w:tr>
      <w:tr w14:paraId="0D8293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4" w:type="dxa"/>
            <w:vAlign w:val="center"/>
          </w:tcPr>
          <w:p w14:paraId="6E9F670F">
            <w:pPr>
              <w:pStyle w:val="12"/>
              <w:keepNext w:val="0"/>
              <w:keepLines w:val="0"/>
              <w:pageBreakBefore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技术路线</w:t>
            </w:r>
          </w:p>
        </w:tc>
        <w:tc>
          <w:tcPr>
            <w:tcW w:w="1065" w:type="dxa"/>
            <w:vAlign w:val="center"/>
          </w:tcPr>
          <w:p w14:paraId="24BDB639">
            <w:pPr>
              <w:pStyle w:val="12"/>
              <w:keepNext w:val="0"/>
              <w:keepLines w:val="0"/>
              <w:pageBreakBefore w:val="0"/>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3.00</w:t>
            </w:r>
          </w:p>
        </w:tc>
        <w:tc>
          <w:tcPr>
            <w:tcW w:w="5687" w:type="dxa"/>
            <w:vAlign w:val="center"/>
          </w:tcPr>
          <w:p w14:paraId="4A4F517C">
            <w:pPr>
              <w:pStyle w:val="12"/>
              <w:keepNext w:val="0"/>
              <w:keepLines w:val="0"/>
              <w:pageBreakBefore w:val="0"/>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根据供应商对本项目指定的技术路线，由比选小组进行评分：①制定的技术路线完整、科学、可行、针对性强，满足本项目需求的，得3分；②制定的技术路线比较满足上述要求但制订不够详细，基本满足本项目需求的，得2.8分；③制定的技术路线不够全面且针对性不够强，得2.6分；④与项目实际情况不符合及未提供的不得分。</w:t>
            </w:r>
          </w:p>
        </w:tc>
      </w:tr>
      <w:tr w14:paraId="392230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4" w:type="dxa"/>
            <w:vAlign w:val="center"/>
          </w:tcPr>
          <w:p w14:paraId="50A21E56">
            <w:pPr>
              <w:pStyle w:val="12"/>
              <w:keepNext w:val="0"/>
              <w:keepLines w:val="0"/>
              <w:pageBreakBefore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防控措施</w:t>
            </w:r>
          </w:p>
        </w:tc>
        <w:tc>
          <w:tcPr>
            <w:tcW w:w="1065" w:type="dxa"/>
            <w:vAlign w:val="center"/>
          </w:tcPr>
          <w:p w14:paraId="2661F039">
            <w:pPr>
              <w:pStyle w:val="12"/>
              <w:keepNext w:val="0"/>
              <w:keepLines w:val="0"/>
              <w:pageBreakBefore w:val="0"/>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3.00</w:t>
            </w:r>
          </w:p>
        </w:tc>
        <w:tc>
          <w:tcPr>
            <w:tcW w:w="5687" w:type="dxa"/>
            <w:vAlign w:val="center"/>
          </w:tcPr>
          <w:p w14:paraId="53296BA5">
            <w:pPr>
              <w:pStyle w:val="12"/>
              <w:keepNext w:val="0"/>
              <w:keepLines w:val="0"/>
              <w:pageBreakBefore w:val="0"/>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根据供应商对本项目提出的防控措施，由比选小组进行评分：①防控措施科学合理、技术含量高、符合防控要求的，得3分；②防控措施较合理、技术含量较高、比较符合防控要求的，得2.8分；③防控措施一般、技术含量一般、基本符合目标要求的，得2.6分；④未提供或不可行的不得分。</w:t>
            </w:r>
          </w:p>
        </w:tc>
      </w:tr>
      <w:tr w14:paraId="7F5820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4" w:type="dxa"/>
            <w:vAlign w:val="center"/>
          </w:tcPr>
          <w:p w14:paraId="10ECE93C">
            <w:pPr>
              <w:pStyle w:val="12"/>
              <w:keepNext w:val="0"/>
              <w:keepLines w:val="0"/>
              <w:pageBreakBefore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进度安排</w:t>
            </w:r>
          </w:p>
        </w:tc>
        <w:tc>
          <w:tcPr>
            <w:tcW w:w="1065" w:type="dxa"/>
            <w:vAlign w:val="center"/>
          </w:tcPr>
          <w:p w14:paraId="7F1407E2">
            <w:pPr>
              <w:pStyle w:val="12"/>
              <w:keepNext w:val="0"/>
              <w:keepLines w:val="0"/>
              <w:pageBreakBefore w:val="0"/>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3.00</w:t>
            </w:r>
          </w:p>
        </w:tc>
        <w:tc>
          <w:tcPr>
            <w:tcW w:w="5687" w:type="dxa"/>
            <w:vAlign w:val="center"/>
          </w:tcPr>
          <w:p w14:paraId="7A208AF2">
            <w:pPr>
              <w:pStyle w:val="12"/>
              <w:keepNext w:val="0"/>
              <w:keepLines w:val="0"/>
              <w:pageBreakBefore w:val="0"/>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根据供应商对本项目提出的进度安排，由比选小组进行评分：①进度安排科学合理、完全满足本项目需求的，得3分；②进度安排较科学合理、基本满足本项目需求的，得2.8分；③进度安排科学性一般、合理性一般的，得2.6分，④进度安排不合理、与项目实际情况不符合及未提供的不得分。</w:t>
            </w:r>
          </w:p>
        </w:tc>
      </w:tr>
      <w:tr w14:paraId="301E65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4" w:type="dxa"/>
            <w:vAlign w:val="center"/>
          </w:tcPr>
          <w:p w14:paraId="32FE4E0E">
            <w:pPr>
              <w:pStyle w:val="12"/>
              <w:keepNext w:val="0"/>
              <w:keepLines w:val="0"/>
              <w:pageBreakBefore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创新方案</w:t>
            </w:r>
          </w:p>
        </w:tc>
        <w:tc>
          <w:tcPr>
            <w:tcW w:w="1065" w:type="dxa"/>
            <w:vAlign w:val="center"/>
          </w:tcPr>
          <w:p w14:paraId="712B7E8E">
            <w:pPr>
              <w:pStyle w:val="12"/>
              <w:keepNext w:val="0"/>
              <w:keepLines w:val="0"/>
              <w:pageBreakBefore w:val="0"/>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3.00</w:t>
            </w:r>
          </w:p>
        </w:tc>
        <w:tc>
          <w:tcPr>
            <w:tcW w:w="5687" w:type="dxa"/>
            <w:vAlign w:val="center"/>
          </w:tcPr>
          <w:p w14:paraId="5F121CAC">
            <w:pPr>
              <w:pStyle w:val="12"/>
              <w:keepNext w:val="0"/>
              <w:keepLines w:val="0"/>
              <w:pageBreakBefore w:val="0"/>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根据供应商对本项目提供的技术创新方案，包括使用行业最新自主软件、专利优化技术方案等内容，由比选小组进行评分：①创新方案完整性好、合理性好、满足本项目需求的，得3分；②创新方案内容完整性较好、合理性较好的、基本满足本项目需求的，得2.8分；③创新方案完整性一般、合理性一般的，得2.6分，④完整性差、与项目实际情况不符合及未提供的不得分。</w:t>
            </w:r>
          </w:p>
        </w:tc>
      </w:tr>
      <w:tr w14:paraId="46C033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4" w:type="dxa"/>
            <w:vAlign w:val="center"/>
          </w:tcPr>
          <w:p w14:paraId="11C2FA12">
            <w:pPr>
              <w:pStyle w:val="12"/>
              <w:keepNext w:val="0"/>
              <w:keepLines w:val="0"/>
              <w:pageBreakBefore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管理方案</w:t>
            </w:r>
          </w:p>
        </w:tc>
        <w:tc>
          <w:tcPr>
            <w:tcW w:w="1065" w:type="dxa"/>
            <w:vAlign w:val="center"/>
          </w:tcPr>
          <w:p w14:paraId="3A4B9C0C">
            <w:pPr>
              <w:pStyle w:val="12"/>
              <w:keepNext w:val="0"/>
              <w:keepLines w:val="0"/>
              <w:pageBreakBefore w:val="0"/>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3.00</w:t>
            </w:r>
          </w:p>
        </w:tc>
        <w:tc>
          <w:tcPr>
            <w:tcW w:w="5687" w:type="dxa"/>
            <w:vAlign w:val="center"/>
          </w:tcPr>
          <w:p w14:paraId="2E4A641E">
            <w:pPr>
              <w:pStyle w:val="12"/>
              <w:keepNext w:val="0"/>
              <w:keepLines w:val="0"/>
              <w:pageBreakBefore w:val="0"/>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根据供应商对本项目提出的管理方案，由比选小组进行评分：①管理方案内容完整性好、合理性好、满足本项目需求的，得3分；②管理方案内容完整性较好、合理性较好的、基本满足本项目需求的，得2.9分；③管理方案完整性一般、合理性一般的，得2.8分，④管理方案完整性差、与项目实际情况不符合及未提供的不得分。</w:t>
            </w:r>
          </w:p>
        </w:tc>
      </w:tr>
      <w:tr w14:paraId="03065D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4" w:type="dxa"/>
            <w:vAlign w:val="center"/>
          </w:tcPr>
          <w:p w14:paraId="747A2979">
            <w:pPr>
              <w:pStyle w:val="12"/>
              <w:keepNext w:val="0"/>
              <w:keepLines w:val="0"/>
              <w:pageBreakBefore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改进方案</w:t>
            </w:r>
          </w:p>
        </w:tc>
        <w:tc>
          <w:tcPr>
            <w:tcW w:w="1065" w:type="dxa"/>
            <w:vAlign w:val="center"/>
          </w:tcPr>
          <w:p w14:paraId="06AF95F8">
            <w:pPr>
              <w:pStyle w:val="12"/>
              <w:keepNext w:val="0"/>
              <w:keepLines w:val="0"/>
              <w:pageBreakBefore w:val="0"/>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3.00</w:t>
            </w:r>
          </w:p>
        </w:tc>
        <w:tc>
          <w:tcPr>
            <w:tcW w:w="5687" w:type="dxa"/>
            <w:vAlign w:val="center"/>
          </w:tcPr>
          <w:p w14:paraId="0725C3D1">
            <w:pPr>
              <w:pStyle w:val="12"/>
              <w:keepNext w:val="0"/>
              <w:keepLines w:val="0"/>
              <w:pageBreakBefore w:val="0"/>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根据供应商对服务成果验收不合格的情况处理流程控制改进方案，由比选小组进行评分：①改进方案内容完整性好、合理性好、满足本项目需求的，得3分；②改进方案内容完整性较好、合理性较好的、基本满足本项目需求的，得2.9分；③改进方案完整性一般、合理性一般的，得2.8分，④改进方案完整性差、与项目实际情况不符合及未提供的不得分。</w:t>
            </w:r>
          </w:p>
        </w:tc>
      </w:tr>
      <w:tr w14:paraId="417ED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shd w:val="clear" w:color="auto" w:fill="auto"/>
            <w:tcMar>
              <w:top w:w="0" w:type="dxa"/>
              <w:left w:w="0" w:type="dxa"/>
              <w:bottom w:w="0" w:type="dxa"/>
              <w:right w:w="0" w:type="dxa"/>
            </w:tcMar>
            <w:vAlign w:val="center"/>
          </w:tcPr>
          <w:p w14:paraId="50EE8501">
            <w:pPr>
              <w:pStyle w:val="12"/>
              <w:keepNext w:val="0"/>
              <w:keepLines w:val="0"/>
              <w:pageBreakBefore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服务方案</w:t>
            </w:r>
          </w:p>
        </w:tc>
        <w:tc>
          <w:tcPr>
            <w:tcW w:w="1065" w:type="dxa"/>
            <w:shd w:val="clear" w:color="auto" w:fill="auto"/>
            <w:tcMar>
              <w:top w:w="0" w:type="dxa"/>
              <w:left w:w="0" w:type="dxa"/>
              <w:bottom w:w="0" w:type="dxa"/>
              <w:right w:w="0" w:type="dxa"/>
            </w:tcMar>
            <w:vAlign w:val="center"/>
          </w:tcPr>
          <w:p w14:paraId="7B5969D5">
            <w:pPr>
              <w:pStyle w:val="12"/>
              <w:keepNext w:val="0"/>
              <w:keepLines w:val="0"/>
              <w:pageBreakBefore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3.00</w:t>
            </w:r>
          </w:p>
        </w:tc>
        <w:tc>
          <w:tcPr>
            <w:tcW w:w="5687" w:type="dxa"/>
            <w:shd w:val="clear" w:color="auto" w:fill="auto"/>
            <w:tcMar>
              <w:top w:w="0" w:type="dxa"/>
              <w:left w:w="0" w:type="dxa"/>
              <w:bottom w:w="0" w:type="dxa"/>
              <w:right w:w="0" w:type="dxa"/>
            </w:tcMar>
            <w:vAlign w:val="center"/>
          </w:tcPr>
          <w:p w14:paraId="6E717BFD">
            <w:pPr>
              <w:pStyle w:val="12"/>
              <w:keepNext w:val="0"/>
              <w:keepLines w:val="0"/>
              <w:pageBreakBefore w:val="0"/>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根据供应商对本项目提供的服务方案，包括售后服务计划、持续服务保障情况、服务机构及服务电话设置、服务承诺、服务队伍人员等内容，由比选小组进行评分：①内容完整性好、合理性好、满足本项目需求的，得3分；②内容完整性较好、合理性较好的、基本满足本项目需求的，得2.9分；③完整性一般、合理性一般的，得2.8分，④改进方案完整性差、与项目实际情况不符合及未提供的不得分。</w:t>
            </w:r>
          </w:p>
        </w:tc>
      </w:tr>
    </w:tbl>
    <w:p w14:paraId="30E56CF7">
      <w:pPr>
        <w:keepNext w:val="0"/>
        <w:keepLines w:val="0"/>
        <w:pageBreakBefore w:val="0"/>
        <w:kinsoku/>
        <w:wordWrap/>
        <w:overflowPunct/>
        <w:topLinePunct w:val="0"/>
        <w:autoSpaceDE/>
        <w:autoSpaceDN/>
        <w:bidi w:val="0"/>
        <w:adjustRightInd/>
        <w:snapToGrid/>
        <w:spacing w:before="156" w:beforeLines="50" w:after="156" w:afterLines="50" w:line="48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（三）商务部分（</w:t>
      </w:r>
      <w:r>
        <w:rPr>
          <w:rFonts w:hint="eastAsia" w:ascii="仿宋" w:hAnsi="仿宋" w:eastAsia="仿宋" w:cs="仿宋"/>
          <w:sz w:val="32"/>
          <w:szCs w:val="32"/>
          <w:lang w:val="en-US" w:eastAsia="zh-CN"/>
        </w:rPr>
        <w:t>15</w:t>
      </w:r>
      <w:r>
        <w:rPr>
          <w:rFonts w:hint="eastAsia" w:ascii="仿宋" w:hAnsi="仿宋" w:eastAsia="仿宋" w:cs="仿宋"/>
          <w:sz w:val="32"/>
          <w:szCs w:val="32"/>
        </w:rPr>
        <w:t>分）</w:t>
      </w:r>
    </w:p>
    <w:tbl>
      <w:tblPr>
        <w:tblStyle w:val="10"/>
        <w:tblW w:w="84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4"/>
        <w:gridCol w:w="1080"/>
        <w:gridCol w:w="5672"/>
        <w:gridCol w:w="113"/>
      </w:tblGrid>
      <w:tr w14:paraId="67007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shd w:val="clear" w:color="auto" w:fill="auto"/>
            <w:tcMar>
              <w:top w:w="0" w:type="dxa"/>
              <w:left w:w="0" w:type="dxa"/>
              <w:bottom w:w="0" w:type="dxa"/>
              <w:right w:w="0" w:type="dxa"/>
            </w:tcMar>
            <w:vAlign w:val="center"/>
          </w:tcPr>
          <w:p w14:paraId="504B8A3D">
            <w:pPr>
              <w:keepNext w:val="0"/>
              <w:keepLines w:val="0"/>
              <w:pageBreakBefore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评审项</w:t>
            </w:r>
          </w:p>
        </w:tc>
        <w:tc>
          <w:tcPr>
            <w:tcW w:w="1080" w:type="dxa"/>
            <w:shd w:val="clear" w:color="auto" w:fill="auto"/>
            <w:tcMar>
              <w:top w:w="0" w:type="dxa"/>
              <w:left w:w="0" w:type="dxa"/>
              <w:bottom w:w="0" w:type="dxa"/>
              <w:right w:w="0" w:type="dxa"/>
            </w:tcMar>
            <w:vAlign w:val="center"/>
          </w:tcPr>
          <w:p w14:paraId="7F8E2FBF">
            <w:pPr>
              <w:keepNext w:val="0"/>
              <w:keepLines w:val="0"/>
              <w:pageBreakBefore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分值</w:t>
            </w:r>
          </w:p>
        </w:tc>
        <w:tc>
          <w:tcPr>
            <w:tcW w:w="5785" w:type="dxa"/>
            <w:gridSpan w:val="2"/>
            <w:shd w:val="clear" w:color="auto" w:fill="auto"/>
            <w:tcMar>
              <w:top w:w="0" w:type="dxa"/>
              <w:left w:w="0" w:type="dxa"/>
              <w:bottom w:w="0" w:type="dxa"/>
              <w:right w:w="0" w:type="dxa"/>
            </w:tcMar>
            <w:vAlign w:val="center"/>
          </w:tcPr>
          <w:p w14:paraId="7F4C551B">
            <w:pPr>
              <w:keepNext w:val="0"/>
              <w:keepLines w:val="0"/>
              <w:pageBreakBefore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评分标准</w:t>
            </w:r>
          </w:p>
        </w:tc>
      </w:tr>
      <w:tr w14:paraId="61D43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shd w:val="clear" w:color="auto" w:fill="auto"/>
            <w:tcMar>
              <w:top w:w="0" w:type="dxa"/>
              <w:left w:w="0" w:type="dxa"/>
              <w:bottom w:w="0" w:type="dxa"/>
              <w:right w:w="0" w:type="dxa"/>
            </w:tcMar>
            <w:vAlign w:val="center"/>
          </w:tcPr>
          <w:p w14:paraId="388F795D">
            <w:pPr>
              <w:pStyle w:val="12"/>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奖项</w:t>
            </w:r>
          </w:p>
        </w:tc>
        <w:tc>
          <w:tcPr>
            <w:tcW w:w="1080" w:type="dxa"/>
            <w:shd w:val="clear" w:color="auto" w:fill="auto"/>
            <w:tcMar>
              <w:top w:w="0" w:type="dxa"/>
              <w:left w:w="0" w:type="dxa"/>
              <w:bottom w:w="0" w:type="dxa"/>
              <w:right w:w="0" w:type="dxa"/>
            </w:tcMar>
            <w:vAlign w:val="center"/>
          </w:tcPr>
          <w:p w14:paraId="471A6279">
            <w:pPr>
              <w:pStyle w:val="12"/>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3.00</w:t>
            </w:r>
          </w:p>
        </w:tc>
        <w:tc>
          <w:tcPr>
            <w:tcW w:w="5785" w:type="dxa"/>
            <w:gridSpan w:val="2"/>
            <w:shd w:val="clear" w:color="auto" w:fill="auto"/>
            <w:tcMar>
              <w:top w:w="0" w:type="dxa"/>
              <w:left w:w="0" w:type="dxa"/>
              <w:bottom w:w="0" w:type="dxa"/>
              <w:right w:w="0" w:type="dxa"/>
            </w:tcMar>
            <w:vAlign w:val="center"/>
          </w:tcPr>
          <w:p w14:paraId="6603D1EE">
            <w:pPr>
              <w:pStyle w:val="12"/>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供应商拟派项目负责人或技术负责人获得省科技进步一等奖的得3分；获得省科技进步二等奖的得2分；三等奖得1分。需提供证书复印件并加盖供应商公章。</w:t>
            </w:r>
          </w:p>
        </w:tc>
      </w:tr>
      <w:tr w14:paraId="4934B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4" w:type="dxa"/>
            <w:shd w:val="clear" w:color="auto" w:fill="auto"/>
            <w:tcMar>
              <w:top w:w="0" w:type="dxa"/>
              <w:left w:w="0" w:type="dxa"/>
              <w:bottom w:w="0" w:type="dxa"/>
              <w:right w:w="0" w:type="dxa"/>
            </w:tcMar>
            <w:vAlign w:val="center"/>
          </w:tcPr>
          <w:p w14:paraId="45A8D9BC">
            <w:pPr>
              <w:pStyle w:val="12"/>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业绩</w:t>
            </w:r>
          </w:p>
        </w:tc>
        <w:tc>
          <w:tcPr>
            <w:tcW w:w="1080" w:type="dxa"/>
            <w:shd w:val="clear" w:color="auto" w:fill="auto"/>
            <w:tcMar>
              <w:top w:w="0" w:type="dxa"/>
              <w:left w:w="0" w:type="dxa"/>
              <w:bottom w:w="0" w:type="dxa"/>
              <w:right w:w="0" w:type="dxa"/>
            </w:tcMar>
            <w:vAlign w:val="center"/>
          </w:tcPr>
          <w:p w14:paraId="60AE3AD9">
            <w:pPr>
              <w:pStyle w:val="12"/>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3.00</w:t>
            </w:r>
          </w:p>
        </w:tc>
        <w:tc>
          <w:tcPr>
            <w:tcW w:w="5785" w:type="dxa"/>
            <w:gridSpan w:val="2"/>
            <w:shd w:val="clear" w:color="auto" w:fill="auto"/>
            <w:tcMar>
              <w:top w:w="0" w:type="dxa"/>
              <w:left w:w="0" w:type="dxa"/>
              <w:bottom w:w="0" w:type="dxa"/>
              <w:right w:w="0" w:type="dxa"/>
            </w:tcMar>
            <w:vAlign w:val="center"/>
          </w:tcPr>
          <w:p w14:paraId="6025F650">
            <w:pPr>
              <w:pStyle w:val="12"/>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根据各供应商所提供承接的松材线虫病综合防控方案编制相关项目业绩情况进行打分，每提供1项得1分，满分3分。需提供合同文本复印件，未提供不得分。</w:t>
            </w:r>
          </w:p>
        </w:tc>
      </w:tr>
      <w:tr w14:paraId="7B53FC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3" w:type="dxa"/>
        </w:trPr>
        <w:tc>
          <w:tcPr>
            <w:tcW w:w="1554" w:type="dxa"/>
            <w:vAlign w:val="center"/>
          </w:tcPr>
          <w:p w14:paraId="7B1E7FED">
            <w:pPr>
              <w:pStyle w:val="12"/>
              <w:keepNext w:val="0"/>
              <w:keepLines w:val="0"/>
              <w:pageBreakBefore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项目负责人业绩</w:t>
            </w:r>
          </w:p>
        </w:tc>
        <w:tc>
          <w:tcPr>
            <w:tcW w:w="1080" w:type="dxa"/>
            <w:vAlign w:val="center"/>
          </w:tcPr>
          <w:p w14:paraId="1ABC44CF">
            <w:pPr>
              <w:pStyle w:val="12"/>
              <w:keepNext w:val="0"/>
              <w:keepLines w:val="0"/>
              <w:pageBreakBefore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3.00</w:t>
            </w:r>
          </w:p>
        </w:tc>
        <w:tc>
          <w:tcPr>
            <w:tcW w:w="5672" w:type="dxa"/>
            <w:vAlign w:val="center"/>
          </w:tcPr>
          <w:p w14:paraId="41D0FFD6">
            <w:pPr>
              <w:pStyle w:val="12"/>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根据供应商拟派项目负责人作为其他松材线虫病综合防控方案编制相关项目的项目负责人业绩情况进行打分，每提供1项得1分，满分3分。需提供合同文本复印件，未提供不得分。</w:t>
            </w:r>
          </w:p>
        </w:tc>
      </w:tr>
      <w:tr w14:paraId="3D41CF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3" w:type="dxa"/>
        </w:trPr>
        <w:tc>
          <w:tcPr>
            <w:tcW w:w="1554" w:type="dxa"/>
            <w:vAlign w:val="center"/>
          </w:tcPr>
          <w:p w14:paraId="15F36EAA">
            <w:pPr>
              <w:pStyle w:val="12"/>
              <w:keepNext w:val="0"/>
              <w:keepLines w:val="0"/>
              <w:pageBreakBefore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团队人员</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p>
        </w:tc>
        <w:tc>
          <w:tcPr>
            <w:tcW w:w="1080" w:type="dxa"/>
            <w:vAlign w:val="center"/>
          </w:tcPr>
          <w:p w14:paraId="6C063E24">
            <w:pPr>
              <w:pStyle w:val="12"/>
              <w:keepNext w:val="0"/>
              <w:keepLines w:val="0"/>
              <w:pageBreakBefore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3.00</w:t>
            </w:r>
          </w:p>
        </w:tc>
        <w:tc>
          <w:tcPr>
            <w:tcW w:w="5672" w:type="dxa"/>
            <w:vAlign w:val="center"/>
          </w:tcPr>
          <w:p w14:paraId="2BFCF998">
            <w:pPr>
              <w:pStyle w:val="12"/>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供应商针对本项目配备的人员，为森林保护学相关专业，①具有博士研究生学历学位或正高职称的每人得1分；②具有硕士研究生学历学位或副高职称的每人得0.5分；③具有学士学历学位或工程师职称的每人得0.25分；满分3分。需提供学历学位证书或职称证书复印件并加盖供应商公章。</w:t>
            </w:r>
          </w:p>
        </w:tc>
      </w:tr>
      <w:tr w14:paraId="73FC04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3" w:type="dxa"/>
        </w:trPr>
        <w:tc>
          <w:tcPr>
            <w:tcW w:w="1554" w:type="dxa"/>
            <w:vAlign w:val="center"/>
          </w:tcPr>
          <w:p w14:paraId="72A93CF4">
            <w:pPr>
              <w:pStyle w:val="12"/>
              <w:keepNext w:val="0"/>
              <w:keepLines w:val="0"/>
              <w:pageBreakBefore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团队人员</w:t>
            </w:r>
          </w:p>
          <w:p w14:paraId="3D17A9F8">
            <w:pPr>
              <w:pStyle w:val="12"/>
              <w:keepNext w:val="0"/>
              <w:keepLines w:val="0"/>
              <w:pageBreakBefore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p>
        </w:tc>
        <w:tc>
          <w:tcPr>
            <w:tcW w:w="1080" w:type="dxa"/>
            <w:vAlign w:val="center"/>
          </w:tcPr>
          <w:p w14:paraId="783649A6">
            <w:pPr>
              <w:pStyle w:val="12"/>
              <w:keepNext w:val="0"/>
              <w:keepLines w:val="0"/>
              <w:pageBreakBefore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3.00</w:t>
            </w:r>
          </w:p>
        </w:tc>
        <w:tc>
          <w:tcPr>
            <w:tcW w:w="5672" w:type="dxa"/>
            <w:vAlign w:val="center"/>
          </w:tcPr>
          <w:p w14:paraId="401AA105">
            <w:pPr>
              <w:pStyle w:val="12"/>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供应商针对本项目配备的人员以第一作者或通讯作者发表过松材线虫病防控论文的，每提供一篇得1分，满分3分。需提供相关论文首页复印件并加盖供应商公章。</w:t>
            </w:r>
          </w:p>
        </w:tc>
      </w:tr>
      <w:tr w14:paraId="74C400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3" w:type="dxa"/>
        </w:trPr>
        <w:tc>
          <w:tcPr>
            <w:tcW w:w="1554" w:type="dxa"/>
            <w:vAlign w:val="center"/>
          </w:tcPr>
          <w:p w14:paraId="58968BCF">
            <w:pPr>
              <w:pStyle w:val="12"/>
              <w:keepNext w:val="0"/>
              <w:keepLines w:val="0"/>
              <w:pageBreakBefore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团队人员</w:t>
            </w:r>
          </w:p>
          <w:p w14:paraId="0874B9FD">
            <w:pPr>
              <w:pStyle w:val="12"/>
              <w:keepNext w:val="0"/>
              <w:keepLines w:val="0"/>
              <w:pageBreakBefore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p>
        </w:tc>
        <w:tc>
          <w:tcPr>
            <w:tcW w:w="1080" w:type="dxa"/>
            <w:vAlign w:val="center"/>
          </w:tcPr>
          <w:p w14:paraId="3EAD7332">
            <w:pPr>
              <w:pStyle w:val="12"/>
              <w:keepNext w:val="0"/>
              <w:keepLines w:val="0"/>
              <w:pageBreakBefore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3.00</w:t>
            </w:r>
          </w:p>
        </w:tc>
        <w:tc>
          <w:tcPr>
            <w:tcW w:w="5672" w:type="dxa"/>
            <w:vAlign w:val="center"/>
          </w:tcPr>
          <w:p w14:paraId="236A81B4">
            <w:pPr>
              <w:pStyle w:val="12"/>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供应商针对本项目配备的人员近5年内主持过相关方案编制的，每3项得1分，满分3分。需提供项目的合同文本复印件并加盖供应商公章。</w:t>
            </w:r>
          </w:p>
        </w:tc>
      </w:tr>
    </w:tbl>
    <w:p w14:paraId="57379355"/>
    <w:p w14:paraId="7F45EFCE">
      <w:pPr>
        <w:pStyle w:val="2"/>
      </w:pPr>
    </w:p>
    <w:p w14:paraId="4FC53A9B">
      <w:pPr>
        <w:pStyle w:val="6"/>
      </w:pPr>
    </w:p>
    <w:p w14:paraId="4CD8EF3E">
      <w:pPr>
        <w:pStyle w:val="6"/>
      </w:pPr>
    </w:p>
    <w:p w14:paraId="1CFCDB6A">
      <w:pPr>
        <w:pStyle w:val="6"/>
      </w:pPr>
    </w:p>
    <w:p w14:paraId="283A62C0">
      <w:pPr>
        <w:pStyle w:val="6"/>
      </w:pPr>
    </w:p>
    <w:p w14:paraId="4CB13C72">
      <w:pPr>
        <w:pStyle w:val="6"/>
      </w:pPr>
    </w:p>
    <w:p w14:paraId="0DC57C3B">
      <w:pPr>
        <w:pStyle w:val="6"/>
      </w:pPr>
    </w:p>
    <w:p w14:paraId="22E3F821">
      <w:pPr>
        <w:pStyle w:val="6"/>
      </w:pPr>
    </w:p>
    <w:p w14:paraId="27615644">
      <w:pPr>
        <w:pStyle w:val="6"/>
      </w:pPr>
    </w:p>
    <w:p w14:paraId="58AC62E3">
      <w:pPr>
        <w:pStyle w:val="6"/>
      </w:pPr>
    </w:p>
    <w:p w14:paraId="3F5DD9A4">
      <w:pPr>
        <w:pStyle w:val="6"/>
        <w:jc w:val="center"/>
        <w:rPr>
          <w:rFonts w:hint="eastAsia" w:eastAsia="宋体"/>
          <w:b/>
          <w:bCs/>
          <w:sz w:val="44"/>
          <w:szCs w:val="44"/>
          <w:lang w:val="en-US" w:eastAsia="zh-CN"/>
        </w:rPr>
      </w:pPr>
      <w:r>
        <w:rPr>
          <w:rFonts w:hint="eastAsia"/>
          <w:b/>
          <w:bCs/>
          <w:sz w:val="44"/>
          <w:szCs w:val="44"/>
          <w:lang w:val="en-US" w:eastAsia="zh-CN"/>
        </w:rPr>
        <w:t xml:space="preserve">第二部分  </w:t>
      </w:r>
      <w:r>
        <w:rPr>
          <w:b/>
          <w:bCs/>
          <w:sz w:val="44"/>
          <w:szCs w:val="44"/>
        </w:rPr>
        <w:t>方案编制技术和服务要求</w:t>
      </w:r>
    </w:p>
    <w:p w14:paraId="45135236">
      <w:pPr>
        <w:jc w:val="center"/>
        <w:rPr>
          <w:b/>
          <w:bCs/>
          <w:sz w:val="32"/>
          <w:szCs w:val="36"/>
        </w:rPr>
      </w:pPr>
    </w:p>
    <w:p w14:paraId="000C6447">
      <w:pPr>
        <w:rPr>
          <w:rFonts w:hint="eastAsia" w:ascii="仿宋" w:hAnsi="仿宋" w:eastAsia="仿宋" w:cs="仿宋"/>
          <w:b/>
          <w:bCs/>
          <w:sz w:val="32"/>
          <w:szCs w:val="32"/>
        </w:rPr>
      </w:pPr>
      <w:r>
        <w:rPr>
          <w:rFonts w:hint="eastAsia" w:ascii="仿宋" w:hAnsi="仿宋" w:eastAsia="仿宋" w:cs="仿宋"/>
          <w:b/>
          <w:bCs/>
          <w:sz w:val="32"/>
          <w:szCs w:val="32"/>
        </w:rPr>
        <w:t>一、方案编制基本准则</w:t>
      </w:r>
    </w:p>
    <w:p w14:paraId="38B6D551">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遵循国家和地方相关法律法规、行业标准与规范，确保防控方案合法性、合规性。</w:t>
      </w:r>
    </w:p>
    <w:p w14:paraId="5364FE5A">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坚持科学性原则，依据松材线虫病生物学特性、流行规律及生态环境因素，运用科学方法制定防控策略。</w:t>
      </w:r>
    </w:p>
    <w:p w14:paraId="1DF4FB7D">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体现针对性，结合项目区域森林资源现状、疫情发生特点，量身定制符合实际需求的防控措施。</w:t>
      </w:r>
    </w:p>
    <w:p w14:paraId="2A1214E5">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突出可操作性，综合考虑人力、物力、财力等资源条件，使方案易于执行和落地实施。</w:t>
      </w:r>
    </w:p>
    <w:p w14:paraId="156FB89A">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贯彻预防为主、治理为辅方针，合理分配资源，注重预防措施建设，降低疫情</w:t>
      </w:r>
      <w:r>
        <w:rPr>
          <w:rFonts w:hint="eastAsia" w:ascii="仿宋" w:hAnsi="仿宋" w:eastAsia="仿宋" w:cs="仿宋"/>
          <w:sz w:val="32"/>
          <w:szCs w:val="32"/>
          <w:lang w:val="en-US" w:eastAsia="zh-CN"/>
        </w:rPr>
        <w:t>暴</w:t>
      </w:r>
      <w:r>
        <w:rPr>
          <w:rFonts w:hint="eastAsia" w:ascii="仿宋" w:hAnsi="仿宋" w:eastAsia="仿宋" w:cs="仿宋"/>
          <w:sz w:val="32"/>
          <w:szCs w:val="32"/>
        </w:rPr>
        <w:t>发风险。</w:t>
      </w:r>
      <w:bookmarkStart w:id="0" w:name="_GoBack"/>
      <w:bookmarkEnd w:id="0"/>
    </w:p>
    <w:p w14:paraId="36F18CD8">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坚持实事求是，如实反映项目区疫情现状与问题，不虚报、瞒报相关情况。</w:t>
      </w:r>
    </w:p>
    <w:p w14:paraId="743DABB1">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保守项目涉及的国家秘密、商业秘密及敏感信息，维护各方合法权益。</w:t>
      </w:r>
    </w:p>
    <w:p w14:paraId="17A4056E">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保持独立、客观立场，不受外界干扰，确保方案编制过程和结果公正性。</w:t>
      </w:r>
    </w:p>
    <w:p w14:paraId="7D82301D">
      <w:pPr>
        <w:rPr>
          <w:rFonts w:hint="eastAsia" w:ascii="仿宋" w:hAnsi="仿宋" w:eastAsia="仿宋" w:cs="仿宋"/>
          <w:b/>
          <w:bCs/>
          <w:sz w:val="32"/>
          <w:szCs w:val="32"/>
        </w:rPr>
      </w:pPr>
      <w:r>
        <w:rPr>
          <w:rFonts w:hint="eastAsia" w:ascii="仿宋" w:hAnsi="仿宋" w:eastAsia="仿宋" w:cs="仿宋"/>
          <w:b/>
          <w:bCs/>
          <w:sz w:val="32"/>
          <w:szCs w:val="32"/>
        </w:rPr>
        <w:t>二、方案编制工作内容</w:t>
      </w:r>
    </w:p>
    <w:p w14:paraId="3417CA6C">
      <w:pPr>
        <w:rPr>
          <w:rFonts w:hint="eastAsia" w:ascii="仿宋" w:hAnsi="仿宋" w:eastAsia="仿宋" w:cs="仿宋"/>
          <w:b/>
          <w:bCs/>
          <w:sz w:val="32"/>
          <w:szCs w:val="32"/>
        </w:rPr>
      </w:pPr>
      <w:r>
        <w:rPr>
          <w:rFonts w:hint="eastAsia" w:ascii="仿宋" w:hAnsi="仿宋" w:eastAsia="仿宋" w:cs="仿宋"/>
          <w:b/>
          <w:bCs/>
          <w:sz w:val="32"/>
          <w:szCs w:val="32"/>
        </w:rPr>
        <w:t>（一）前期调研阶段</w:t>
      </w:r>
    </w:p>
    <w:p w14:paraId="0D520CA7">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组织专业团队对项目区进行全面踏查，了解林分类型、树木健康状况、松材线虫病感染情况等基础信息。</w:t>
      </w:r>
    </w:p>
    <w:p w14:paraId="65E17F21">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收集并分析项目区历年松材线虫病发生情况，评估其对松材线虫病传播和发生的影响。</w:t>
      </w:r>
    </w:p>
    <w:p w14:paraId="4EC6E17B">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11.</w:t>
      </w:r>
      <w:r>
        <w:rPr>
          <w:rFonts w:hint="eastAsia" w:ascii="仿宋" w:hAnsi="仿宋" w:eastAsia="仿宋" w:cs="仿宋"/>
          <w:sz w:val="32"/>
          <w:szCs w:val="32"/>
        </w:rPr>
        <w:t>与当地林业部门工作人员及周边居民进行深入交流，了解疫情发现经过、发展趋势、防控历史及现状等信息，为方案编制提供参考依据。</w:t>
      </w:r>
    </w:p>
    <w:p w14:paraId="09CACD82">
      <w:pPr>
        <w:rPr>
          <w:rFonts w:hint="eastAsia" w:ascii="仿宋" w:hAnsi="仿宋" w:eastAsia="仿宋" w:cs="仿宋"/>
          <w:b/>
          <w:bCs/>
          <w:sz w:val="32"/>
          <w:szCs w:val="32"/>
        </w:rPr>
      </w:pPr>
      <w:r>
        <w:rPr>
          <w:rFonts w:hint="eastAsia" w:ascii="仿宋" w:hAnsi="仿宋" w:eastAsia="仿宋" w:cs="仿宋"/>
          <w:b/>
          <w:bCs/>
          <w:sz w:val="32"/>
          <w:szCs w:val="32"/>
        </w:rPr>
        <w:t>（二）方案设计阶段</w:t>
      </w:r>
    </w:p>
    <w:p w14:paraId="03C5E0BC">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12.</w:t>
      </w:r>
      <w:r>
        <w:rPr>
          <w:rFonts w:hint="eastAsia" w:ascii="仿宋" w:hAnsi="仿宋" w:eastAsia="仿宋" w:cs="仿宋"/>
          <w:sz w:val="32"/>
          <w:szCs w:val="32"/>
        </w:rPr>
        <w:t>根据前期调研结果，明确防控目标，包括短期、中期和长期目标，确保目标清晰、可量化、可考核。</w:t>
      </w:r>
    </w:p>
    <w:p w14:paraId="5CF7CECD">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13.</w:t>
      </w:r>
      <w:r>
        <w:rPr>
          <w:rFonts w:hint="eastAsia" w:ascii="仿宋" w:hAnsi="仿宋" w:eastAsia="仿宋" w:cs="仿宋"/>
          <w:sz w:val="32"/>
          <w:szCs w:val="32"/>
        </w:rPr>
        <w:t>划分防控区域，根据疫情严重程度、地理特征、生态功能等因素划定防控区域。</w:t>
      </w:r>
    </w:p>
    <w:p w14:paraId="50110EC3">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14.</w:t>
      </w:r>
      <w:r>
        <w:rPr>
          <w:rFonts w:hint="eastAsia" w:ascii="仿宋" w:hAnsi="仿宋" w:eastAsia="仿宋" w:cs="仿宋"/>
          <w:sz w:val="32"/>
          <w:szCs w:val="32"/>
        </w:rPr>
        <w:t>设计监测体系，确定监测点布局、监测方法、监测频率，建立覆盖全面、反应灵敏的疫情监测网络，确保及时准确掌握疫情动态。</w:t>
      </w:r>
    </w:p>
    <w:p w14:paraId="1F721694">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15.</w:t>
      </w:r>
      <w:r>
        <w:rPr>
          <w:rFonts w:hint="eastAsia" w:ascii="仿宋" w:hAnsi="仿宋" w:eastAsia="仿宋" w:cs="仿宋"/>
          <w:sz w:val="32"/>
          <w:szCs w:val="32"/>
        </w:rPr>
        <w:t>制定防控措施，涵盖疫情除治、媒介昆虫控制、林分改造、检疫封锁等方面，详细说明各项措施的技术要求、实施步骤、所需物资设备等。</w:t>
      </w:r>
    </w:p>
    <w:p w14:paraId="5899BDB3">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16.</w:t>
      </w:r>
      <w:r>
        <w:rPr>
          <w:rFonts w:hint="eastAsia" w:ascii="仿宋" w:hAnsi="仿宋" w:eastAsia="仿宋" w:cs="仿宋"/>
          <w:sz w:val="32"/>
          <w:szCs w:val="32"/>
        </w:rPr>
        <w:t>进行效益评估，从生态效益、经济效益和社会效益三个方面对防控方案实施效果进行预测和评估，确保方案具有良好的综合效益。</w:t>
      </w:r>
    </w:p>
    <w:p w14:paraId="1FD78884">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17.</w:t>
      </w:r>
      <w:r>
        <w:rPr>
          <w:rFonts w:hint="eastAsia" w:ascii="仿宋" w:hAnsi="仿宋" w:eastAsia="仿宋" w:cs="仿宋"/>
          <w:sz w:val="32"/>
          <w:szCs w:val="32"/>
        </w:rPr>
        <w:t>制定方案实施进度计划，按照年度为单位，详细安排各阶段工作任务、时间节点和责任人，保障方案有序推进。</w:t>
      </w:r>
    </w:p>
    <w:p w14:paraId="1B09713E">
      <w:pPr>
        <w:rPr>
          <w:rFonts w:hint="eastAsia" w:ascii="仿宋" w:hAnsi="仿宋" w:eastAsia="仿宋" w:cs="仿宋"/>
          <w:b/>
          <w:bCs/>
          <w:sz w:val="32"/>
          <w:szCs w:val="32"/>
        </w:rPr>
      </w:pPr>
      <w:r>
        <w:rPr>
          <w:rFonts w:hint="eastAsia" w:ascii="仿宋" w:hAnsi="仿宋" w:eastAsia="仿宋" w:cs="仿宋"/>
          <w:b/>
          <w:bCs/>
          <w:sz w:val="32"/>
          <w:szCs w:val="32"/>
        </w:rPr>
        <w:t>（三）方案论证与优化阶段</w:t>
      </w:r>
    </w:p>
    <w:p w14:paraId="4DFD26BF">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18.</w:t>
      </w:r>
      <w:r>
        <w:rPr>
          <w:rFonts w:hint="eastAsia" w:ascii="仿宋" w:hAnsi="仿宋" w:eastAsia="仿宋" w:cs="仿宋"/>
          <w:sz w:val="32"/>
          <w:szCs w:val="32"/>
        </w:rPr>
        <w:t>组织不少于5位业内专家对防控方案进行论证评审，听取专家意见和建议，对方案合理性、可行性进行把关。</w:t>
      </w:r>
    </w:p>
    <w:p w14:paraId="0A1F82F2">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19.</w:t>
      </w:r>
      <w:r>
        <w:rPr>
          <w:rFonts w:hint="eastAsia" w:ascii="仿宋" w:hAnsi="仿宋" w:eastAsia="仿宋" w:cs="仿宋"/>
          <w:sz w:val="32"/>
          <w:szCs w:val="32"/>
        </w:rPr>
        <w:t>根据专家评审意见，对防控方案进行优化完善，确保方案质量达到要求。</w:t>
      </w:r>
    </w:p>
    <w:p w14:paraId="2710EE65">
      <w:pPr>
        <w:rPr>
          <w:rFonts w:hint="eastAsia" w:ascii="仿宋" w:hAnsi="仿宋" w:eastAsia="仿宋" w:cs="仿宋"/>
          <w:b/>
          <w:bCs/>
          <w:sz w:val="32"/>
          <w:szCs w:val="32"/>
        </w:rPr>
      </w:pPr>
      <w:r>
        <w:rPr>
          <w:rFonts w:hint="eastAsia" w:ascii="仿宋" w:hAnsi="仿宋" w:eastAsia="仿宋" w:cs="仿宋"/>
          <w:b/>
          <w:bCs/>
          <w:sz w:val="32"/>
          <w:szCs w:val="32"/>
        </w:rPr>
        <w:t>三、服务方式</w:t>
      </w:r>
    </w:p>
    <w:p w14:paraId="09165284">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20.</w:t>
      </w:r>
      <w:r>
        <w:rPr>
          <w:rFonts w:hint="eastAsia" w:ascii="仿宋" w:hAnsi="仿宋" w:eastAsia="仿宋" w:cs="仿宋"/>
          <w:sz w:val="32"/>
          <w:szCs w:val="32"/>
        </w:rPr>
        <w:t>供应商应组建专业且稳定的技术团队，团队成员具备相关专业背景和丰富经验，分工明确，确保方案编制工作高效开展。</w:t>
      </w:r>
    </w:p>
    <w:p w14:paraId="0D5A03B5">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21.</w:t>
      </w:r>
      <w:r>
        <w:rPr>
          <w:rFonts w:hint="eastAsia" w:ascii="仿宋" w:hAnsi="仿宋" w:eastAsia="仿宋" w:cs="仿宋"/>
          <w:sz w:val="32"/>
          <w:szCs w:val="32"/>
        </w:rPr>
        <w:t>在方案编制过程中，与采购人保持密切沟通，定期汇报工作进展情况，及时响应采购人合理需求和关切，根据反馈意见及时调整工作方向和重点。</w:t>
      </w:r>
    </w:p>
    <w:p w14:paraId="2A874D31">
      <w:pPr>
        <w:rPr>
          <w:rFonts w:hint="eastAsia" w:ascii="仿宋" w:hAnsi="仿宋" w:eastAsia="仿宋" w:cs="仿宋"/>
          <w:b/>
          <w:bCs/>
          <w:sz w:val="32"/>
          <w:szCs w:val="32"/>
        </w:rPr>
      </w:pPr>
      <w:r>
        <w:rPr>
          <w:rFonts w:hint="eastAsia" w:ascii="仿宋" w:hAnsi="仿宋" w:eastAsia="仿宋" w:cs="仿宋"/>
          <w:b/>
          <w:bCs/>
          <w:sz w:val="32"/>
          <w:szCs w:val="32"/>
        </w:rPr>
        <w:t>★四、派遣人员要求</w:t>
      </w:r>
    </w:p>
    <w:p w14:paraId="31886F94">
      <w:pPr>
        <w:rPr>
          <w:rFonts w:hint="eastAsia" w:ascii="仿宋" w:hAnsi="仿宋" w:eastAsia="仿宋" w:cs="仿宋"/>
          <w:sz w:val="32"/>
          <w:szCs w:val="32"/>
        </w:rPr>
      </w:pPr>
      <w:r>
        <w:rPr>
          <w:rFonts w:hint="eastAsia" w:ascii="仿宋" w:hAnsi="仿宋" w:eastAsia="仿宋" w:cs="仿宋"/>
          <w:sz w:val="32"/>
          <w:szCs w:val="32"/>
        </w:rPr>
        <w:t>为保证本次项目的建设质量，供应商除为本项目配备项目负责人和主要编制人员，须配备以下主要人员：</w:t>
      </w:r>
    </w:p>
    <w:tbl>
      <w:tblPr>
        <w:tblStyle w:val="10"/>
        <w:tblW w:w="9345" w:type="dxa"/>
        <w:jc w:val="center"/>
        <w:tblLayout w:type="fixed"/>
        <w:tblCellMar>
          <w:top w:w="0" w:type="dxa"/>
          <w:left w:w="57" w:type="dxa"/>
          <w:bottom w:w="0" w:type="dxa"/>
          <w:right w:w="57" w:type="dxa"/>
        </w:tblCellMar>
      </w:tblPr>
      <w:tblGrid>
        <w:gridCol w:w="2205"/>
        <w:gridCol w:w="1081"/>
        <w:gridCol w:w="6059"/>
      </w:tblGrid>
      <w:tr w14:paraId="6CBEBAE1">
        <w:trPr>
          <w:trHeight w:val="454" w:hRule="atLeast"/>
          <w:jc w:val="center"/>
        </w:trPr>
        <w:tc>
          <w:tcPr>
            <w:tcW w:w="220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5267F951">
            <w:pPr>
              <w:rPr>
                <w:rFonts w:hint="eastAsia" w:ascii="仿宋" w:hAnsi="仿宋" w:eastAsia="仿宋" w:cs="仿宋"/>
                <w:sz w:val="32"/>
                <w:szCs w:val="32"/>
              </w:rPr>
            </w:pPr>
            <w:r>
              <w:rPr>
                <w:rFonts w:hint="eastAsia" w:ascii="仿宋" w:hAnsi="仿宋" w:eastAsia="仿宋" w:cs="仿宋"/>
                <w:sz w:val="32"/>
                <w:szCs w:val="32"/>
              </w:rPr>
              <w:t>岗位名称</w:t>
            </w:r>
          </w:p>
        </w:tc>
        <w:tc>
          <w:tcPr>
            <w:tcW w:w="108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0FDA3622">
            <w:pPr>
              <w:rPr>
                <w:rFonts w:hint="eastAsia" w:ascii="仿宋" w:hAnsi="仿宋" w:eastAsia="仿宋" w:cs="仿宋"/>
                <w:sz w:val="32"/>
                <w:szCs w:val="32"/>
              </w:rPr>
            </w:pPr>
            <w:r>
              <w:rPr>
                <w:rFonts w:hint="eastAsia" w:ascii="仿宋" w:hAnsi="仿宋" w:eastAsia="仿宋" w:cs="仿宋"/>
                <w:sz w:val="32"/>
                <w:szCs w:val="32"/>
              </w:rPr>
              <w:t>人数</w:t>
            </w:r>
          </w:p>
        </w:tc>
        <w:tc>
          <w:tcPr>
            <w:tcW w:w="605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66BA184E">
            <w:pPr>
              <w:rPr>
                <w:rFonts w:hint="eastAsia" w:ascii="仿宋" w:hAnsi="仿宋" w:eastAsia="仿宋" w:cs="仿宋"/>
                <w:sz w:val="32"/>
                <w:szCs w:val="32"/>
              </w:rPr>
            </w:pPr>
            <w:r>
              <w:rPr>
                <w:rFonts w:hint="eastAsia" w:ascii="仿宋" w:hAnsi="仿宋" w:eastAsia="仿宋" w:cs="仿宋"/>
                <w:sz w:val="32"/>
                <w:szCs w:val="32"/>
              </w:rPr>
              <w:t>最低资历要求</w:t>
            </w:r>
          </w:p>
        </w:tc>
      </w:tr>
      <w:tr w14:paraId="19E4BCBE">
        <w:tblPrEx>
          <w:tblCellMar>
            <w:top w:w="0" w:type="dxa"/>
            <w:left w:w="57" w:type="dxa"/>
            <w:bottom w:w="0" w:type="dxa"/>
            <w:right w:w="57" w:type="dxa"/>
          </w:tblCellMar>
        </w:tblPrEx>
        <w:trPr>
          <w:trHeight w:val="454" w:hRule="atLeast"/>
          <w:jc w:val="center"/>
        </w:trPr>
        <w:tc>
          <w:tcPr>
            <w:tcW w:w="22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94DC649">
            <w:pPr>
              <w:rPr>
                <w:rFonts w:hint="eastAsia" w:ascii="仿宋" w:hAnsi="仿宋" w:eastAsia="仿宋" w:cs="仿宋"/>
                <w:sz w:val="32"/>
                <w:szCs w:val="32"/>
              </w:rPr>
            </w:pPr>
            <w:r>
              <w:rPr>
                <w:rFonts w:hint="eastAsia" w:ascii="仿宋" w:hAnsi="仿宋" w:eastAsia="仿宋" w:cs="仿宋"/>
                <w:sz w:val="32"/>
                <w:szCs w:val="32"/>
              </w:rPr>
              <w:t>编制负责人（森保专业）</w:t>
            </w:r>
          </w:p>
        </w:tc>
        <w:tc>
          <w:tcPr>
            <w:tcW w:w="1081"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5A853E0">
            <w:pPr>
              <w:rPr>
                <w:rFonts w:hint="eastAsia" w:ascii="仿宋" w:hAnsi="仿宋" w:eastAsia="仿宋" w:cs="仿宋"/>
                <w:sz w:val="32"/>
                <w:szCs w:val="32"/>
              </w:rPr>
            </w:pPr>
            <w:r>
              <w:rPr>
                <w:rFonts w:hint="eastAsia" w:ascii="仿宋" w:hAnsi="仿宋" w:eastAsia="仿宋" w:cs="仿宋"/>
                <w:sz w:val="32"/>
                <w:szCs w:val="32"/>
              </w:rPr>
              <w:t>1人</w:t>
            </w:r>
          </w:p>
        </w:tc>
        <w:tc>
          <w:tcPr>
            <w:tcW w:w="6059"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AEF585C">
            <w:pPr>
              <w:rPr>
                <w:rFonts w:hint="eastAsia" w:ascii="仿宋" w:hAnsi="仿宋" w:eastAsia="仿宋" w:cs="仿宋"/>
                <w:sz w:val="32"/>
                <w:szCs w:val="32"/>
              </w:rPr>
            </w:pPr>
            <w:r>
              <w:rPr>
                <w:rFonts w:hint="eastAsia" w:ascii="仿宋" w:hAnsi="仿宋" w:eastAsia="仿宋" w:cs="仿宋"/>
                <w:sz w:val="32"/>
                <w:szCs w:val="32"/>
              </w:rPr>
              <w:t>森保专业毕业硕士以上，具有合格有效的森保专业正高级工程师资格证，证书上的专业类别为森保。</w:t>
            </w:r>
          </w:p>
        </w:tc>
      </w:tr>
      <w:tr w14:paraId="7475286D">
        <w:tblPrEx>
          <w:tblCellMar>
            <w:top w:w="0" w:type="dxa"/>
            <w:left w:w="57" w:type="dxa"/>
            <w:bottom w:w="0" w:type="dxa"/>
            <w:right w:w="57" w:type="dxa"/>
          </w:tblCellMar>
        </w:tblPrEx>
        <w:trPr>
          <w:trHeight w:val="454" w:hRule="atLeast"/>
          <w:jc w:val="center"/>
        </w:trPr>
        <w:tc>
          <w:tcPr>
            <w:tcW w:w="22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51E4B22E">
            <w:pPr>
              <w:rPr>
                <w:rFonts w:hint="eastAsia" w:ascii="仿宋" w:hAnsi="仿宋" w:eastAsia="仿宋" w:cs="仿宋"/>
                <w:sz w:val="32"/>
                <w:szCs w:val="32"/>
              </w:rPr>
            </w:pPr>
            <w:r>
              <w:rPr>
                <w:rFonts w:hint="eastAsia" w:ascii="仿宋" w:hAnsi="仿宋" w:eastAsia="仿宋" w:cs="仿宋"/>
                <w:sz w:val="32"/>
                <w:szCs w:val="32"/>
              </w:rPr>
              <w:t>主要编制人员（森保专业）</w:t>
            </w:r>
          </w:p>
        </w:tc>
        <w:tc>
          <w:tcPr>
            <w:tcW w:w="1081"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D08496F">
            <w:pPr>
              <w:rPr>
                <w:rFonts w:hint="eastAsia" w:ascii="仿宋" w:hAnsi="仿宋" w:eastAsia="仿宋" w:cs="仿宋"/>
                <w:sz w:val="32"/>
                <w:szCs w:val="32"/>
              </w:rPr>
            </w:pPr>
            <w:r>
              <w:rPr>
                <w:rFonts w:hint="eastAsia" w:ascii="仿宋" w:hAnsi="仿宋" w:eastAsia="仿宋" w:cs="仿宋"/>
                <w:sz w:val="32"/>
                <w:szCs w:val="32"/>
              </w:rPr>
              <w:t>2人</w:t>
            </w:r>
          </w:p>
        </w:tc>
        <w:tc>
          <w:tcPr>
            <w:tcW w:w="6059"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2AA0AC1C">
            <w:pPr>
              <w:rPr>
                <w:rFonts w:hint="eastAsia" w:ascii="仿宋" w:hAnsi="仿宋" w:eastAsia="仿宋" w:cs="仿宋"/>
                <w:sz w:val="32"/>
                <w:szCs w:val="32"/>
              </w:rPr>
            </w:pPr>
            <w:r>
              <w:rPr>
                <w:rFonts w:hint="eastAsia" w:ascii="仿宋" w:hAnsi="仿宋" w:eastAsia="仿宋" w:cs="仿宋"/>
                <w:sz w:val="32"/>
                <w:szCs w:val="32"/>
              </w:rPr>
              <w:t>森保专业毕业硕士以上，具有合格有效的森保专业高级工程师资格证，证书上的专业类别为森保。</w:t>
            </w:r>
          </w:p>
        </w:tc>
      </w:tr>
    </w:tbl>
    <w:p w14:paraId="7F1DDCFE">
      <w:pPr>
        <w:pStyle w:val="6"/>
        <w:ind w:left="0" w:leftChars="0" w:firstLine="0" w:firstLineChars="0"/>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CG Times">
    <w:panose1 w:val="02020603050405020304"/>
    <w:charset w:val="00"/>
    <w:family w:val="roman"/>
    <w:pitch w:val="default"/>
    <w:sig w:usb0="00000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3102D"/>
    <w:rsid w:val="00147F37"/>
    <w:rsid w:val="004052D4"/>
    <w:rsid w:val="005E3343"/>
    <w:rsid w:val="00801E2B"/>
    <w:rsid w:val="023515D2"/>
    <w:rsid w:val="02666D29"/>
    <w:rsid w:val="0271726C"/>
    <w:rsid w:val="02E71185"/>
    <w:rsid w:val="040C033C"/>
    <w:rsid w:val="05610347"/>
    <w:rsid w:val="0599083A"/>
    <w:rsid w:val="05DA294B"/>
    <w:rsid w:val="061F5D25"/>
    <w:rsid w:val="08363370"/>
    <w:rsid w:val="084F5055"/>
    <w:rsid w:val="09310668"/>
    <w:rsid w:val="096E2FEE"/>
    <w:rsid w:val="0A06668F"/>
    <w:rsid w:val="0B230CC4"/>
    <w:rsid w:val="0B9B4CA1"/>
    <w:rsid w:val="0BC55F9C"/>
    <w:rsid w:val="0C106313"/>
    <w:rsid w:val="0D34596D"/>
    <w:rsid w:val="0F7E436F"/>
    <w:rsid w:val="103059DC"/>
    <w:rsid w:val="10AA4C4A"/>
    <w:rsid w:val="1182088E"/>
    <w:rsid w:val="126D3BAB"/>
    <w:rsid w:val="1298466E"/>
    <w:rsid w:val="12D71790"/>
    <w:rsid w:val="131E2572"/>
    <w:rsid w:val="134A396F"/>
    <w:rsid w:val="14913FC1"/>
    <w:rsid w:val="149A50AD"/>
    <w:rsid w:val="14C117E8"/>
    <w:rsid w:val="14D8257B"/>
    <w:rsid w:val="15531764"/>
    <w:rsid w:val="16A71010"/>
    <w:rsid w:val="16B17B75"/>
    <w:rsid w:val="170F2525"/>
    <w:rsid w:val="174A3370"/>
    <w:rsid w:val="17B055C2"/>
    <w:rsid w:val="185452D5"/>
    <w:rsid w:val="18916B7C"/>
    <w:rsid w:val="191B58FA"/>
    <w:rsid w:val="19AC19DA"/>
    <w:rsid w:val="19DD7993"/>
    <w:rsid w:val="19EE1910"/>
    <w:rsid w:val="1A1C11EC"/>
    <w:rsid w:val="1ABC2A1E"/>
    <w:rsid w:val="1AF94E11"/>
    <w:rsid w:val="1B6D3021"/>
    <w:rsid w:val="1B843114"/>
    <w:rsid w:val="1B8A3B4F"/>
    <w:rsid w:val="1D3722B2"/>
    <w:rsid w:val="1DE81145"/>
    <w:rsid w:val="1EFD6079"/>
    <w:rsid w:val="1F530027"/>
    <w:rsid w:val="1FB3672B"/>
    <w:rsid w:val="20232393"/>
    <w:rsid w:val="20A4186D"/>
    <w:rsid w:val="20C04AF7"/>
    <w:rsid w:val="22C649FC"/>
    <w:rsid w:val="233260CD"/>
    <w:rsid w:val="24354C85"/>
    <w:rsid w:val="257853C0"/>
    <w:rsid w:val="262F3FBB"/>
    <w:rsid w:val="2656088C"/>
    <w:rsid w:val="26EF1888"/>
    <w:rsid w:val="273750A5"/>
    <w:rsid w:val="28675AC9"/>
    <w:rsid w:val="29B539E7"/>
    <w:rsid w:val="2A533E61"/>
    <w:rsid w:val="2A7F3CCB"/>
    <w:rsid w:val="2B20575E"/>
    <w:rsid w:val="2B5D2FCD"/>
    <w:rsid w:val="2BF76F1C"/>
    <w:rsid w:val="2C027257"/>
    <w:rsid w:val="2C633BB5"/>
    <w:rsid w:val="2C8531C5"/>
    <w:rsid w:val="2C8F665B"/>
    <w:rsid w:val="2CA86D0E"/>
    <w:rsid w:val="2CBA1BF7"/>
    <w:rsid w:val="2D034AB3"/>
    <w:rsid w:val="2D582F7A"/>
    <w:rsid w:val="2D877B16"/>
    <w:rsid w:val="2E5B2B74"/>
    <w:rsid w:val="2EAE162E"/>
    <w:rsid w:val="2ED33CB9"/>
    <w:rsid w:val="2F4A2953"/>
    <w:rsid w:val="305344E5"/>
    <w:rsid w:val="30FA3B06"/>
    <w:rsid w:val="30FB171F"/>
    <w:rsid w:val="318C057B"/>
    <w:rsid w:val="318D3939"/>
    <w:rsid w:val="31B0076E"/>
    <w:rsid w:val="323757DA"/>
    <w:rsid w:val="327475AC"/>
    <w:rsid w:val="331829EC"/>
    <w:rsid w:val="34BF564E"/>
    <w:rsid w:val="363303B1"/>
    <w:rsid w:val="3725347D"/>
    <w:rsid w:val="37373796"/>
    <w:rsid w:val="38487892"/>
    <w:rsid w:val="38580788"/>
    <w:rsid w:val="38B67CE6"/>
    <w:rsid w:val="393B3718"/>
    <w:rsid w:val="39BB6D99"/>
    <w:rsid w:val="3ABC66EA"/>
    <w:rsid w:val="3B582FDF"/>
    <w:rsid w:val="3B782BF0"/>
    <w:rsid w:val="3BBE3B6E"/>
    <w:rsid w:val="3C8208C7"/>
    <w:rsid w:val="3EC22400"/>
    <w:rsid w:val="3F20236B"/>
    <w:rsid w:val="3F916836"/>
    <w:rsid w:val="402C581C"/>
    <w:rsid w:val="412D64EC"/>
    <w:rsid w:val="4156161E"/>
    <w:rsid w:val="42960919"/>
    <w:rsid w:val="42B05918"/>
    <w:rsid w:val="43236E8D"/>
    <w:rsid w:val="43D140B4"/>
    <w:rsid w:val="441C1735"/>
    <w:rsid w:val="444D0FDC"/>
    <w:rsid w:val="44BC20C2"/>
    <w:rsid w:val="44C973F5"/>
    <w:rsid w:val="456358E9"/>
    <w:rsid w:val="46385618"/>
    <w:rsid w:val="46B904FA"/>
    <w:rsid w:val="47327D91"/>
    <w:rsid w:val="473F692C"/>
    <w:rsid w:val="47481461"/>
    <w:rsid w:val="479E5668"/>
    <w:rsid w:val="47BA4712"/>
    <w:rsid w:val="480C58D2"/>
    <w:rsid w:val="489F1D4A"/>
    <w:rsid w:val="494C4D21"/>
    <w:rsid w:val="499137DC"/>
    <w:rsid w:val="4B193391"/>
    <w:rsid w:val="4C1B148C"/>
    <w:rsid w:val="4C7C167A"/>
    <w:rsid w:val="4D406891"/>
    <w:rsid w:val="4D7D4782"/>
    <w:rsid w:val="4EB37C67"/>
    <w:rsid w:val="4F267783"/>
    <w:rsid w:val="505E35BF"/>
    <w:rsid w:val="51B00E2D"/>
    <w:rsid w:val="5258675C"/>
    <w:rsid w:val="53EC66AA"/>
    <w:rsid w:val="542F539E"/>
    <w:rsid w:val="55146072"/>
    <w:rsid w:val="557178F4"/>
    <w:rsid w:val="557D27DB"/>
    <w:rsid w:val="558479DA"/>
    <w:rsid w:val="55D81962"/>
    <w:rsid w:val="58391197"/>
    <w:rsid w:val="58793E8B"/>
    <w:rsid w:val="5A2A6E66"/>
    <w:rsid w:val="5A652B16"/>
    <w:rsid w:val="5AB4055B"/>
    <w:rsid w:val="5B1509BE"/>
    <w:rsid w:val="5B320847"/>
    <w:rsid w:val="5BA375C8"/>
    <w:rsid w:val="5C200FD6"/>
    <w:rsid w:val="5D45674F"/>
    <w:rsid w:val="5D90285B"/>
    <w:rsid w:val="5D964784"/>
    <w:rsid w:val="5ECA0F45"/>
    <w:rsid w:val="5F253B64"/>
    <w:rsid w:val="5F3F16ED"/>
    <w:rsid w:val="60575ACC"/>
    <w:rsid w:val="60EC70B9"/>
    <w:rsid w:val="61166DB7"/>
    <w:rsid w:val="63BC4AD0"/>
    <w:rsid w:val="65362D02"/>
    <w:rsid w:val="659E5E22"/>
    <w:rsid w:val="670D1A43"/>
    <w:rsid w:val="67DD2843"/>
    <w:rsid w:val="68600AE3"/>
    <w:rsid w:val="69752D39"/>
    <w:rsid w:val="699C5074"/>
    <w:rsid w:val="6A3C1AD6"/>
    <w:rsid w:val="6ADD5BAD"/>
    <w:rsid w:val="6B2D6E2F"/>
    <w:rsid w:val="6BE9296E"/>
    <w:rsid w:val="6C297459"/>
    <w:rsid w:val="6CA93457"/>
    <w:rsid w:val="6CB23CDA"/>
    <w:rsid w:val="6DD956F1"/>
    <w:rsid w:val="6E8446EB"/>
    <w:rsid w:val="6EF82C55"/>
    <w:rsid w:val="6F48461E"/>
    <w:rsid w:val="6FD53EC0"/>
    <w:rsid w:val="6FF24A72"/>
    <w:rsid w:val="70983CD5"/>
    <w:rsid w:val="709E543C"/>
    <w:rsid w:val="70B43DC2"/>
    <w:rsid w:val="7118078F"/>
    <w:rsid w:val="714436C4"/>
    <w:rsid w:val="7197671A"/>
    <w:rsid w:val="733B6C95"/>
    <w:rsid w:val="73CF03FE"/>
    <w:rsid w:val="741B6576"/>
    <w:rsid w:val="74381033"/>
    <w:rsid w:val="747A5CF2"/>
    <w:rsid w:val="747C5639"/>
    <w:rsid w:val="75546F85"/>
    <w:rsid w:val="75AA3228"/>
    <w:rsid w:val="768131FD"/>
    <w:rsid w:val="76D85CFC"/>
    <w:rsid w:val="77152FDB"/>
    <w:rsid w:val="77BC27C1"/>
    <w:rsid w:val="78010DFD"/>
    <w:rsid w:val="791D3940"/>
    <w:rsid w:val="794656B0"/>
    <w:rsid w:val="79C764AE"/>
    <w:rsid w:val="7A1769F2"/>
    <w:rsid w:val="7A235D6D"/>
    <w:rsid w:val="7AB63C59"/>
    <w:rsid w:val="7CE74652"/>
    <w:rsid w:val="7D072146"/>
    <w:rsid w:val="7F497D8E"/>
    <w:rsid w:val="7F870126"/>
    <w:rsid w:val="7FAC78CB"/>
    <w:rsid w:val="7FEC2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7">
    <w:name w:val="heading 2"/>
    <w:basedOn w:val="1"/>
    <w:next w:val="8"/>
    <w:qFormat/>
    <w:uiPriority w:val="99"/>
    <w:pPr>
      <w:keepNext/>
      <w:keepLines/>
      <w:tabs>
        <w:tab w:val="left" w:pos="567"/>
      </w:tabs>
      <w:spacing w:before="260" w:after="260" w:line="413" w:lineRule="auto"/>
      <w:ind w:left="567" w:hanging="567"/>
      <w:jc w:val="center"/>
      <w:outlineLvl w:val="1"/>
    </w:pPr>
    <w:rPr>
      <w:rFonts w:ascii="CG Times" w:hAnsi="CG Times"/>
      <w:b/>
      <w:kern w:val="0"/>
      <w:sz w:val="20"/>
      <w:szCs w:val="20"/>
    </w:rPr>
  </w:style>
  <w:style w:type="paragraph" w:styleId="5">
    <w:name w:val="heading 3"/>
    <w:basedOn w:val="1"/>
    <w:next w:val="1"/>
    <w:semiHidden/>
    <w:unhideWhenUsed/>
    <w:qFormat/>
    <w:uiPriority w:val="0"/>
    <w:pPr>
      <w:spacing w:before="0" w:after="0"/>
      <w:outlineLvl w:val="2"/>
    </w:pPr>
    <w:rPr>
      <w:bCs/>
      <w:kern w:val="0"/>
      <w:sz w:val="27"/>
      <w:szCs w:val="27"/>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6"/>
    <w:qFormat/>
    <w:uiPriority w:val="0"/>
    <w:pPr>
      <w:ind w:firstLine="420" w:firstLineChars="200"/>
    </w:pPr>
    <w:rPr>
      <w:rFonts w:ascii="Calibri" w:hAnsi="Calibri"/>
    </w:rPr>
  </w:style>
  <w:style w:type="paragraph" w:styleId="3">
    <w:name w:val="Body Text Indent"/>
    <w:basedOn w:val="1"/>
    <w:next w:val="4"/>
    <w:unhideWhenUsed/>
    <w:qFormat/>
    <w:uiPriority w:val="99"/>
    <w:pPr>
      <w:spacing w:after="120"/>
      <w:ind w:left="420" w:leftChars="200"/>
    </w:pPr>
    <w:rPr>
      <w:color w:val="000000"/>
      <w:kern w:val="10"/>
      <w:szCs w:val="21"/>
    </w:rPr>
  </w:style>
  <w:style w:type="paragraph" w:customStyle="1" w:styleId="4">
    <w:name w:val="样式 标题 3 + (中文) 黑体 小四 非加粗 段前: 7.8 磅 段后: 0 磅 行距: 固定值 20 磅"/>
    <w:basedOn w:val="5"/>
    <w:qFormat/>
    <w:uiPriority w:val="0"/>
    <w:pPr>
      <w:numPr>
        <w:ilvl w:val="0"/>
        <w:numId w:val="0"/>
      </w:numPr>
      <w:spacing w:beforeAutospacing="1" w:afterAutospacing="1" w:line="400" w:lineRule="exact"/>
      <w:jc w:val="left"/>
    </w:pPr>
    <w:rPr>
      <w:rFonts w:hint="eastAsia" w:ascii="Times New Roman" w:hAnsi="Times New Roman" w:eastAsia="黑体" w:cs="宋体"/>
      <w:szCs w:val="20"/>
    </w:rPr>
  </w:style>
  <w:style w:type="paragraph" w:customStyle="1" w:styleId="6">
    <w:name w:val="正文格式"/>
    <w:basedOn w:val="1"/>
    <w:qFormat/>
    <w:uiPriority w:val="0"/>
    <w:pPr>
      <w:tabs>
        <w:tab w:val="left" w:pos="992"/>
      </w:tabs>
      <w:ind w:firstLine="200" w:firstLineChars="200"/>
    </w:pPr>
    <w:rPr>
      <w:rFonts w:ascii="宋体" w:hAnsi="宋体"/>
      <w:sz w:val="28"/>
    </w:rPr>
  </w:style>
  <w:style w:type="paragraph" w:styleId="8">
    <w:name w:val="Normal Indent"/>
    <w:basedOn w:val="1"/>
    <w:next w:val="1"/>
    <w:qFormat/>
    <w:uiPriority w:val="0"/>
    <w:pPr>
      <w:ind w:firstLine="420"/>
    </w:pPr>
    <w:rPr>
      <w:rFonts w:ascii="Times New Roman" w:hAnsi="Times New Roman"/>
      <w:kern w:val="0"/>
      <w:sz w:val="20"/>
      <w:szCs w:val="20"/>
    </w:rPr>
  </w:style>
  <w:style w:type="paragraph" w:styleId="9">
    <w:name w:val="annotation text"/>
    <w:basedOn w:val="1"/>
    <w:semiHidden/>
    <w:unhideWhenUsed/>
    <w:qFormat/>
    <w:uiPriority w:val="99"/>
    <w:pPr>
      <w:jc w:val="left"/>
    </w:pPr>
  </w:style>
  <w:style w:type="paragraph" w:customStyle="1" w:styleId="12">
    <w:name w:val="null3"/>
    <w:qFormat/>
    <w:uiPriority w:val="0"/>
    <w:rPr>
      <w:rFonts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2135</Words>
  <Characters>2237</Characters>
  <Lines>0</Lines>
  <Paragraphs>0</Paragraphs>
  <TotalTime>7</TotalTime>
  <ScaleCrop>false</ScaleCrop>
  <LinksUpToDate>false</LinksUpToDate>
  <CharactersWithSpaces>2240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姚峰</cp:lastModifiedBy>
  <dcterms:modified xsi:type="dcterms:W3CDTF">2025-04-18T03:01:01Z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eyJoZGlkIjoiOTAxN2VhZWRlNWExYTdlYTQ4YmY5OTRiY2I3MDZmNDkiLCJ1c2VySWQiOiIxNjg3MzUzOTA0In0=</vt:lpwstr>
  </property>
  <property fmtid="{D5CDD505-2E9C-101B-9397-08002B2CF9AE}" pid="4" name="ICV">
    <vt:lpwstr>169B0B9449FA4FB38888D082A1AA0DE6_12</vt:lpwstr>
  </property>
</Properties>
</file>