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670AE">
      <w:pPr>
        <w:pStyle w:val="5"/>
        <w:widowControl/>
        <w:spacing w:before="75" w:beforeAutospacing="0" w:after="75" w:afterAutospacing="0" w:line="435" w:lineRule="atLeast"/>
        <w:ind w:firstLine="555"/>
        <w:rPr>
          <w:rStyle w:val="8"/>
          <w:rFonts w:ascii="宋体" w:hAnsi="宋体" w:cs="宋体"/>
          <w:sz w:val="28"/>
          <w:szCs w:val="28"/>
        </w:rPr>
      </w:pPr>
      <w:r>
        <w:rPr>
          <w:rStyle w:val="8"/>
          <w:rFonts w:hint="eastAsia" w:ascii="宋体" w:hAnsi="宋体" w:cs="宋体"/>
          <w:sz w:val="28"/>
          <w:szCs w:val="28"/>
        </w:rPr>
        <w:t>综合评分法评分细则：</w:t>
      </w:r>
    </w:p>
    <w:p w14:paraId="25C09370">
      <w:pPr>
        <w:pStyle w:val="5"/>
        <w:widowControl/>
        <w:spacing w:before="75" w:beforeAutospacing="0" w:after="75" w:afterAutospacing="0" w:line="435" w:lineRule="atLeast"/>
        <w:rPr>
          <w:rFonts w:ascii="宋体" w:hAnsi="宋体" w:cs="宋体"/>
          <w:sz w:val="20"/>
          <w:szCs w:val="20"/>
        </w:rPr>
      </w:pPr>
      <w:r>
        <w:rPr>
          <w:rFonts w:hint="eastAsia" w:ascii="宋体" w:hAnsi="宋体" w:cs="宋体"/>
          <w:sz w:val="20"/>
          <w:szCs w:val="20"/>
        </w:rPr>
        <w:t>一、报价部分评分PF 满分为10.00分</w:t>
      </w:r>
    </w:p>
    <w:p w14:paraId="52665981">
      <w:pPr>
        <w:pStyle w:val="9"/>
        <w:spacing w:line="400" w:lineRule="exact"/>
        <w:ind w:firstLine="600" w:firstLineChars="300"/>
        <w:rPr>
          <w:rFonts w:hint="eastAsia" w:ascii="宋体" w:hAnsi="宋体" w:cs="宋体"/>
          <w:sz w:val="20"/>
          <w:szCs w:val="20"/>
        </w:rPr>
      </w:pPr>
      <w:r>
        <w:rPr>
          <w:rFonts w:hint="eastAsia" w:ascii="宋体" w:hAnsi="宋体" w:cs="宋体"/>
          <w:sz w:val="20"/>
          <w:szCs w:val="20"/>
        </w:rPr>
        <w:t>价格分采用低价优先法计算，即满足比选文件要求且最后报价最低的供应商的价格为比选基准价，其价格分为满分。其他供应商的价格分统一按照下列公式计算：价格项评审因素得分=（比选基准价／最后比选报价）×价格权值×100。</w:t>
      </w:r>
    </w:p>
    <w:p w14:paraId="1264BE46">
      <w:pPr>
        <w:pStyle w:val="9"/>
        <w:spacing w:line="400" w:lineRule="exact"/>
        <w:rPr>
          <w:rFonts w:hint="default" w:ascii="宋体" w:hAnsi="宋体" w:cs="宋体"/>
        </w:rPr>
      </w:pPr>
      <w:r>
        <w:rPr>
          <w:rFonts w:ascii="宋体" w:hAnsi="宋体" w:cs="宋体"/>
        </w:rPr>
        <w:t>二、技术部分评分PT 满分82.00分</w:t>
      </w:r>
    </w:p>
    <w:tbl>
      <w:tblPr>
        <w:tblStyle w:val="6"/>
        <w:tblW w:w="872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72"/>
        <w:gridCol w:w="825"/>
        <w:gridCol w:w="6923"/>
      </w:tblGrid>
      <w:tr w14:paraId="0BED2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jc w:val="center"/>
        </w:trPr>
        <w:tc>
          <w:tcPr>
            <w:tcW w:w="972" w:type="dxa"/>
          </w:tcPr>
          <w:p w14:paraId="53E44262">
            <w:pPr>
              <w:pStyle w:val="9"/>
              <w:jc w:val="center"/>
              <w:rPr>
                <w:rFonts w:hint="default" w:ascii="宋体" w:hAnsi="宋体" w:cs="宋体"/>
              </w:rPr>
            </w:pPr>
            <w:r>
              <w:rPr>
                <w:rFonts w:ascii="宋体" w:hAnsi="宋体" w:cs="宋体"/>
              </w:rPr>
              <w:t>项目</w:t>
            </w:r>
          </w:p>
        </w:tc>
        <w:tc>
          <w:tcPr>
            <w:tcW w:w="825" w:type="dxa"/>
          </w:tcPr>
          <w:p w14:paraId="12C3B71F">
            <w:pPr>
              <w:pStyle w:val="9"/>
              <w:jc w:val="center"/>
              <w:rPr>
                <w:rFonts w:hint="default" w:ascii="宋体" w:hAnsi="宋体" w:cs="宋体"/>
              </w:rPr>
            </w:pPr>
            <w:r>
              <w:rPr>
                <w:rFonts w:ascii="宋体" w:hAnsi="宋体" w:cs="宋体"/>
              </w:rPr>
              <w:t>分值</w:t>
            </w:r>
          </w:p>
        </w:tc>
        <w:tc>
          <w:tcPr>
            <w:tcW w:w="6923" w:type="dxa"/>
          </w:tcPr>
          <w:p w14:paraId="2A134DA7">
            <w:pPr>
              <w:pStyle w:val="9"/>
              <w:jc w:val="center"/>
              <w:rPr>
                <w:rFonts w:hint="default" w:ascii="宋体" w:hAnsi="宋体" w:cs="宋体"/>
              </w:rPr>
            </w:pPr>
            <w:r>
              <w:rPr>
                <w:rFonts w:ascii="宋体" w:hAnsi="宋体" w:cs="宋体"/>
              </w:rPr>
              <w:t>描述</w:t>
            </w:r>
          </w:p>
        </w:tc>
      </w:tr>
      <w:tr w14:paraId="5F36B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jc w:val="center"/>
        </w:trPr>
        <w:tc>
          <w:tcPr>
            <w:tcW w:w="972" w:type="dxa"/>
            <w:vAlign w:val="center"/>
          </w:tcPr>
          <w:p w14:paraId="43AF44ED">
            <w:pPr>
              <w:spacing w:line="360" w:lineRule="exact"/>
              <w:jc w:val="center"/>
              <w:rPr>
                <w:rFonts w:ascii="宋体" w:hAnsi="宋体" w:cs="宋体"/>
                <w:sz w:val="20"/>
                <w:szCs w:val="20"/>
              </w:rPr>
            </w:pPr>
            <w:r>
              <w:rPr>
                <w:rFonts w:hint="eastAsia" w:ascii="宋体" w:hAnsi="宋体" w:cs="宋体"/>
                <w:kern w:val="0"/>
                <w:sz w:val="20"/>
                <w:szCs w:val="20"/>
              </w:rPr>
              <w:t>技术服务响应情况</w:t>
            </w:r>
          </w:p>
        </w:tc>
        <w:tc>
          <w:tcPr>
            <w:tcW w:w="825" w:type="dxa"/>
            <w:vAlign w:val="center"/>
          </w:tcPr>
          <w:p w14:paraId="527D5F91">
            <w:pPr>
              <w:spacing w:line="360" w:lineRule="exact"/>
              <w:jc w:val="center"/>
              <w:rPr>
                <w:rFonts w:ascii="宋体" w:hAnsi="宋体" w:cs="宋体"/>
                <w:sz w:val="20"/>
                <w:szCs w:val="20"/>
              </w:rPr>
            </w:pPr>
            <w:r>
              <w:rPr>
                <w:rFonts w:hint="eastAsia" w:ascii="宋体" w:hAnsi="宋体" w:cs="宋体"/>
                <w:kern w:val="0"/>
                <w:sz w:val="20"/>
                <w:szCs w:val="20"/>
              </w:rPr>
              <w:t>52</w:t>
            </w:r>
          </w:p>
        </w:tc>
        <w:tc>
          <w:tcPr>
            <w:tcW w:w="6923" w:type="dxa"/>
          </w:tcPr>
          <w:p w14:paraId="60B35ADD">
            <w:pPr>
              <w:pStyle w:val="9"/>
              <w:jc w:val="both"/>
              <w:rPr>
                <w:rFonts w:hint="default" w:ascii="宋体" w:hAnsi="宋体" w:cs="宋体"/>
              </w:rPr>
            </w:pPr>
            <w:r>
              <w:rPr>
                <w:rFonts w:hint="eastAsia" w:ascii="宋体" w:hAnsi="宋体" w:eastAsia="宋体" w:cs="宋体"/>
                <w:sz w:val="20"/>
              </w:rPr>
              <w:t>根据供应商对公开招标公告“第二点 采购内容及要求”中各项要求的响应情况进行评分，共26项，完全满足磋商文件要求的得52分；每负偏离一项扣2分，正偏离不加分，扣完为止。供应商必须根据该评审内容，对招标文件的要求逐项进行应答，如实说明正、负偏离情况，否则，有可能做出不利于供应商的评判（负偏离）。</w:t>
            </w:r>
          </w:p>
        </w:tc>
      </w:tr>
      <w:tr w14:paraId="5EF0E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4FE0E6CE">
            <w:pPr>
              <w:widowControl/>
              <w:jc w:val="center"/>
              <w:rPr>
                <w:rFonts w:ascii="宋体" w:hAnsi="宋体" w:cs="宋体"/>
                <w:sz w:val="20"/>
                <w:szCs w:val="20"/>
              </w:rPr>
            </w:pPr>
            <w:r>
              <w:rPr>
                <w:rFonts w:hint="eastAsia" w:ascii="宋体" w:hAnsi="宋体" w:cs="宋体"/>
                <w:kern w:val="0"/>
                <w:sz w:val="20"/>
                <w:szCs w:val="20"/>
                <w:lang w:bidi="ar"/>
              </w:rPr>
              <w:t>监理工作内容</w:t>
            </w:r>
          </w:p>
        </w:tc>
        <w:tc>
          <w:tcPr>
            <w:tcW w:w="825" w:type="dxa"/>
            <w:shd w:val="clear" w:color="auto" w:fill="auto"/>
            <w:vAlign w:val="center"/>
          </w:tcPr>
          <w:p w14:paraId="7C5406A5">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7A4D4902">
            <w:pPr>
              <w:widowControl/>
              <w:rPr>
                <w:rFonts w:ascii="宋体" w:hAnsi="宋体" w:cs="宋体"/>
                <w:sz w:val="20"/>
                <w:szCs w:val="20"/>
              </w:rPr>
            </w:pPr>
            <w:r>
              <w:rPr>
                <w:rFonts w:hint="eastAsia" w:ascii="宋体" w:hAnsi="宋体" w:eastAsia="宋体" w:cs="宋体"/>
                <w:sz w:val="20"/>
                <w:szCs w:val="13"/>
              </w:rPr>
              <w:t>根据各供应商针对本项目所提供的项目监理工作内容、范围情况（包括但不限于：项目主体分析、项目流程结构建立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4BE41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78983563">
            <w:pPr>
              <w:widowControl/>
              <w:jc w:val="center"/>
              <w:rPr>
                <w:rFonts w:ascii="宋体" w:hAnsi="宋体" w:cs="宋体"/>
                <w:sz w:val="20"/>
                <w:szCs w:val="20"/>
              </w:rPr>
            </w:pPr>
            <w:r>
              <w:rPr>
                <w:rFonts w:hint="eastAsia" w:ascii="宋体" w:hAnsi="宋体" w:cs="宋体"/>
                <w:kern w:val="0"/>
                <w:sz w:val="20"/>
                <w:szCs w:val="20"/>
                <w:lang w:bidi="ar"/>
              </w:rPr>
              <w:t>监理依据、监理工作目标</w:t>
            </w:r>
          </w:p>
        </w:tc>
        <w:tc>
          <w:tcPr>
            <w:tcW w:w="825" w:type="dxa"/>
            <w:shd w:val="clear" w:color="auto" w:fill="auto"/>
            <w:vAlign w:val="center"/>
          </w:tcPr>
          <w:p w14:paraId="4DB0CD1F">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3066507E">
            <w:pPr>
              <w:widowControl/>
              <w:rPr>
                <w:rFonts w:ascii="宋体" w:hAnsi="宋体" w:cs="宋体"/>
                <w:sz w:val="20"/>
                <w:szCs w:val="20"/>
              </w:rPr>
            </w:pPr>
            <w:r>
              <w:rPr>
                <w:rFonts w:hint="eastAsia" w:ascii="宋体" w:hAnsi="宋体" w:eastAsia="宋体" w:cs="宋体"/>
                <w:sz w:val="20"/>
                <w:szCs w:val="13"/>
              </w:rPr>
              <w:t>根据各供应商针对本项目所提供的项目实施过程中与项目相关的依据及监理工作目标（包括但不限于：国家标准、行业标准、项目目标设立及措施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41679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20CAFD28">
            <w:pPr>
              <w:widowControl/>
              <w:jc w:val="center"/>
              <w:rPr>
                <w:rFonts w:ascii="宋体" w:hAnsi="宋体" w:cs="宋体"/>
                <w:sz w:val="20"/>
                <w:szCs w:val="20"/>
              </w:rPr>
            </w:pPr>
            <w:r>
              <w:rPr>
                <w:rFonts w:hint="eastAsia" w:ascii="宋体" w:hAnsi="宋体" w:cs="宋体"/>
                <w:kern w:val="0"/>
                <w:sz w:val="20"/>
                <w:szCs w:val="20"/>
                <w:lang w:bidi="ar"/>
              </w:rPr>
              <w:t>监理工作程序、方法和制度</w:t>
            </w:r>
          </w:p>
        </w:tc>
        <w:tc>
          <w:tcPr>
            <w:tcW w:w="825" w:type="dxa"/>
            <w:shd w:val="clear" w:color="auto" w:fill="auto"/>
            <w:vAlign w:val="center"/>
          </w:tcPr>
          <w:p w14:paraId="304A9885">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563C0FEC">
            <w:pPr>
              <w:widowControl/>
              <w:rPr>
                <w:rFonts w:ascii="宋体" w:hAnsi="宋体" w:cs="宋体"/>
                <w:sz w:val="20"/>
                <w:szCs w:val="20"/>
              </w:rPr>
            </w:pPr>
            <w:r>
              <w:rPr>
                <w:rFonts w:hint="eastAsia" w:ascii="宋体" w:hAnsi="宋体" w:eastAsia="宋体" w:cs="宋体"/>
                <w:sz w:val="20"/>
                <w:szCs w:val="13"/>
              </w:rPr>
              <w:t>根据各供应商针对本项目制定相应的监理工作程序、方法和制度（包括但不限于：监理工作流程安排、施工现场监理制度建立、人员奖惩制度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7E54B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5F58156F">
            <w:pPr>
              <w:widowControl/>
              <w:jc w:val="center"/>
              <w:rPr>
                <w:rFonts w:ascii="宋体" w:hAnsi="宋体" w:cs="宋体"/>
                <w:sz w:val="20"/>
                <w:szCs w:val="20"/>
              </w:rPr>
            </w:pPr>
            <w:r>
              <w:rPr>
                <w:rFonts w:hint="eastAsia" w:ascii="宋体" w:hAnsi="宋体" w:cs="宋体"/>
                <w:kern w:val="0"/>
                <w:sz w:val="20"/>
                <w:szCs w:val="20"/>
                <w:lang w:bidi="ar"/>
              </w:rPr>
              <w:t>质量、进度监理控制方案</w:t>
            </w:r>
          </w:p>
        </w:tc>
        <w:tc>
          <w:tcPr>
            <w:tcW w:w="825" w:type="dxa"/>
            <w:shd w:val="clear" w:color="auto" w:fill="auto"/>
            <w:vAlign w:val="center"/>
          </w:tcPr>
          <w:p w14:paraId="0184E363">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3D577E2D">
            <w:pPr>
              <w:widowControl/>
              <w:rPr>
                <w:rFonts w:ascii="宋体" w:hAnsi="宋体" w:cs="宋体"/>
                <w:sz w:val="20"/>
                <w:szCs w:val="20"/>
              </w:rPr>
            </w:pPr>
            <w:r>
              <w:rPr>
                <w:rFonts w:hint="eastAsia" w:ascii="宋体" w:hAnsi="宋体" w:eastAsia="宋体" w:cs="宋体"/>
                <w:sz w:val="20"/>
                <w:szCs w:val="13"/>
              </w:rPr>
              <w:t>根据供应商针对本项目所提供的质量、进度监理控制方案（包括但不限于：项目质量监理控制方案、项目进度监理控制方案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68F76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1F465198">
            <w:pPr>
              <w:widowControl/>
              <w:jc w:val="center"/>
              <w:rPr>
                <w:rFonts w:ascii="宋体" w:hAnsi="宋体" w:cs="宋体"/>
                <w:sz w:val="20"/>
                <w:szCs w:val="20"/>
              </w:rPr>
            </w:pPr>
            <w:r>
              <w:rPr>
                <w:rFonts w:hint="eastAsia" w:ascii="宋体" w:hAnsi="宋体" w:cs="宋体"/>
                <w:kern w:val="0"/>
                <w:sz w:val="20"/>
                <w:szCs w:val="20"/>
                <w:lang w:bidi="ar"/>
              </w:rPr>
              <w:t>造价控制措施</w:t>
            </w:r>
          </w:p>
        </w:tc>
        <w:tc>
          <w:tcPr>
            <w:tcW w:w="825" w:type="dxa"/>
            <w:shd w:val="clear" w:color="auto" w:fill="auto"/>
            <w:vAlign w:val="center"/>
          </w:tcPr>
          <w:p w14:paraId="18EFB624">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4606F2B2">
            <w:pPr>
              <w:widowControl/>
              <w:rPr>
                <w:rFonts w:ascii="宋体" w:hAnsi="宋体" w:cs="宋体"/>
                <w:sz w:val="20"/>
                <w:szCs w:val="20"/>
              </w:rPr>
            </w:pPr>
            <w:r>
              <w:rPr>
                <w:rFonts w:hint="eastAsia" w:ascii="宋体" w:hAnsi="宋体" w:eastAsia="宋体" w:cs="宋体"/>
                <w:sz w:val="20"/>
                <w:szCs w:val="13"/>
              </w:rPr>
              <w:t>根据供应商针对本项目所提供的造价控制措施（包括但不限于：项目造价控制点情形分析、具体控制措施、目标成效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11991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54F951B0">
            <w:pPr>
              <w:widowControl/>
              <w:jc w:val="center"/>
              <w:rPr>
                <w:rFonts w:ascii="宋体" w:hAnsi="宋体" w:cs="宋体"/>
                <w:kern w:val="0"/>
                <w:sz w:val="20"/>
                <w:szCs w:val="20"/>
                <w:lang w:bidi="ar"/>
              </w:rPr>
            </w:pPr>
            <w:r>
              <w:rPr>
                <w:rFonts w:hint="eastAsia" w:ascii="宋体" w:hAnsi="宋体" w:cs="宋体"/>
                <w:kern w:val="0"/>
                <w:sz w:val="20"/>
                <w:szCs w:val="20"/>
                <w:lang w:bidi="ar"/>
              </w:rPr>
              <w:t>文明安全监理保障措施</w:t>
            </w:r>
          </w:p>
        </w:tc>
        <w:tc>
          <w:tcPr>
            <w:tcW w:w="825" w:type="dxa"/>
            <w:shd w:val="clear" w:color="auto" w:fill="auto"/>
            <w:vAlign w:val="center"/>
          </w:tcPr>
          <w:p w14:paraId="09329D6D">
            <w:pPr>
              <w:widowControl/>
              <w:jc w:val="center"/>
              <w:rPr>
                <w:rFonts w:ascii="宋体" w:hAnsi="宋体" w:cs="宋体"/>
                <w:kern w:val="0"/>
                <w:sz w:val="20"/>
                <w:szCs w:val="20"/>
                <w:lang w:bidi="ar"/>
              </w:rPr>
            </w:pPr>
            <w:r>
              <w:rPr>
                <w:rFonts w:hint="eastAsia" w:ascii="宋体" w:hAnsi="宋体" w:cs="宋体"/>
                <w:kern w:val="0"/>
                <w:sz w:val="20"/>
                <w:szCs w:val="20"/>
                <w:lang w:bidi="ar"/>
              </w:rPr>
              <w:t>3</w:t>
            </w:r>
          </w:p>
        </w:tc>
        <w:tc>
          <w:tcPr>
            <w:tcW w:w="6923" w:type="dxa"/>
            <w:shd w:val="clear" w:color="auto" w:fill="auto"/>
          </w:tcPr>
          <w:p w14:paraId="0451BCFB">
            <w:pPr>
              <w:widowControl/>
              <w:rPr>
                <w:rFonts w:ascii="宋体" w:hAnsi="宋体" w:cs="宋体"/>
                <w:kern w:val="0"/>
                <w:sz w:val="20"/>
                <w:szCs w:val="20"/>
                <w:lang w:bidi="ar"/>
              </w:rPr>
            </w:pPr>
            <w:r>
              <w:rPr>
                <w:rFonts w:hint="eastAsia" w:ascii="宋体" w:hAnsi="宋体" w:eastAsia="宋体" w:cs="宋体"/>
                <w:sz w:val="20"/>
                <w:szCs w:val="13"/>
              </w:rPr>
              <w:t>根据供应商针对本项目所提供的文明安全监理保障措施（包括但不限于：工作人员安全培训方案、现场人员安全保障物资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29990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04129DB5">
            <w:pPr>
              <w:widowControl/>
              <w:jc w:val="center"/>
              <w:rPr>
                <w:rFonts w:ascii="宋体" w:hAnsi="宋体" w:cs="宋体"/>
                <w:sz w:val="20"/>
                <w:szCs w:val="20"/>
                <w:lang w:eastAsia="zh-Hans"/>
              </w:rPr>
            </w:pPr>
            <w:r>
              <w:rPr>
                <w:rFonts w:hint="eastAsia" w:ascii="宋体" w:hAnsi="宋体" w:cs="宋体"/>
                <w:kern w:val="0"/>
                <w:sz w:val="20"/>
                <w:szCs w:val="20"/>
                <w:lang w:bidi="ar"/>
              </w:rPr>
              <w:t>监理组织协调内容及措施</w:t>
            </w:r>
          </w:p>
        </w:tc>
        <w:tc>
          <w:tcPr>
            <w:tcW w:w="825" w:type="dxa"/>
            <w:shd w:val="clear" w:color="auto" w:fill="auto"/>
            <w:vAlign w:val="center"/>
          </w:tcPr>
          <w:p w14:paraId="6D1999FF">
            <w:pPr>
              <w:widowControl/>
              <w:jc w:val="center"/>
              <w:rPr>
                <w:rFonts w:ascii="宋体" w:hAnsi="宋体" w:cs="宋体"/>
                <w:sz w:val="20"/>
                <w:szCs w:val="20"/>
                <w:lang w:eastAsia="zh-Hans"/>
              </w:rPr>
            </w:pPr>
            <w:r>
              <w:rPr>
                <w:rFonts w:hint="eastAsia" w:ascii="宋体" w:hAnsi="宋体" w:cs="宋体"/>
                <w:kern w:val="0"/>
                <w:sz w:val="20"/>
                <w:szCs w:val="20"/>
                <w:lang w:bidi="ar"/>
              </w:rPr>
              <w:t>3</w:t>
            </w:r>
          </w:p>
        </w:tc>
        <w:tc>
          <w:tcPr>
            <w:tcW w:w="6923" w:type="dxa"/>
            <w:shd w:val="clear" w:color="auto" w:fill="auto"/>
          </w:tcPr>
          <w:p w14:paraId="5DE061FD">
            <w:pPr>
              <w:widowControl/>
              <w:rPr>
                <w:rFonts w:ascii="宋体" w:hAnsi="宋体" w:cs="宋体"/>
                <w:sz w:val="20"/>
                <w:szCs w:val="20"/>
                <w:lang w:eastAsia="zh-Hans"/>
              </w:rPr>
            </w:pPr>
            <w:r>
              <w:rPr>
                <w:rFonts w:hint="eastAsia" w:ascii="宋体" w:hAnsi="宋体" w:eastAsia="宋体" w:cs="宋体"/>
                <w:sz w:val="20"/>
                <w:szCs w:val="13"/>
              </w:rPr>
              <w:t>根据供应商针对本项目所提供的监理组织协调内容及措施情况（包括但不限于：监理组织协调内容情况列举、组织协调形式、组织协调应对措施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4E13E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108387F9">
            <w:pPr>
              <w:widowControl/>
              <w:jc w:val="center"/>
              <w:rPr>
                <w:rFonts w:ascii="宋体" w:hAnsi="宋体" w:cs="宋体"/>
                <w:sz w:val="20"/>
                <w:szCs w:val="20"/>
              </w:rPr>
            </w:pPr>
            <w:r>
              <w:rPr>
                <w:rFonts w:hint="eastAsia" w:ascii="宋体" w:hAnsi="宋体" w:cs="宋体"/>
                <w:kern w:val="0"/>
                <w:sz w:val="20"/>
                <w:szCs w:val="20"/>
                <w:lang w:bidi="ar"/>
              </w:rPr>
              <w:t>监理工作重点、难点分析</w:t>
            </w:r>
          </w:p>
        </w:tc>
        <w:tc>
          <w:tcPr>
            <w:tcW w:w="825" w:type="dxa"/>
            <w:shd w:val="clear" w:color="auto" w:fill="auto"/>
            <w:vAlign w:val="center"/>
          </w:tcPr>
          <w:p w14:paraId="772F4D57">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77DF4BCB">
            <w:pPr>
              <w:widowControl/>
              <w:rPr>
                <w:rFonts w:ascii="宋体" w:hAnsi="宋体" w:cs="宋体"/>
                <w:sz w:val="20"/>
                <w:szCs w:val="20"/>
              </w:rPr>
            </w:pPr>
            <w:r>
              <w:rPr>
                <w:rFonts w:hint="eastAsia" w:ascii="宋体" w:hAnsi="宋体" w:eastAsia="宋体" w:cs="宋体"/>
                <w:sz w:val="20"/>
                <w:szCs w:val="13"/>
              </w:rPr>
              <w:t>根据供应商针对本项目监理工作重点、难点分析方案情况（包括但不限于：本项目重难点分析及罗列、针对重难点分析提供的应对措施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61781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47A0EAF7">
            <w:pPr>
              <w:widowControl/>
              <w:jc w:val="center"/>
              <w:rPr>
                <w:rFonts w:ascii="宋体" w:hAnsi="宋体" w:cs="宋体"/>
                <w:sz w:val="20"/>
                <w:szCs w:val="20"/>
              </w:rPr>
            </w:pPr>
            <w:r>
              <w:rPr>
                <w:rFonts w:hint="eastAsia" w:ascii="宋体" w:hAnsi="宋体" w:cs="宋体"/>
                <w:kern w:val="0"/>
                <w:sz w:val="20"/>
                <w:szCs w:val="20"/>
                <w:lang w:bidi="ar"/>
              </w:rPr>
              <w:t>合理化建议</w:t>
            </w:r>
          </w:p>
        </w:tc>
        <w:tc>
          <w:tcPr>
            <w:tcW w:w="825" w:type="dxa"/>
            <w:shd w:val="clear" w:color="auto" w:fill="auto"/>
            <w:vAlign w:val="center"/>
          </w:tcPr>
          <w:p w14:paraId="136AC86F">
            <w:pPr>
              <w:widowControl/>
              <w:jc w:val="center"/>
              <w:rPr>
                <w:rFonts w:ascii="宋体" w:hAnsi="宋体" w:cs="宋体"/>
                <w:sz w:val="20"/>
                <w:szCs w:val="20"/>
              </w:rPr>
            </w:pPr>
            <w:r>
              <w:rPr>
                <w:rFonts w:hint="eastAsia" w:ascii="宋体" w:hAnsi="宋体" w:cs="宋体"/>
                <w:kern w:val="0"/>
                <w:sz w:val="20"/>
                <w:szCs w:val="20"/>
                <w:lang w:bidi="ar"/>
              </w:rPr>
              <w:t>3</w:t>
            </w:r>
          </w:p>
        </w:tc>
        <w:tc>
          <w:tcPr>
            <w:tcW w:w="6923" w:type="dxa"/>
            <w:shd w:val="clear" w:color="auto" w:fill="auto"/>
          </w:tcPr>
          <w:p w14:paraId="28DFE661">
            <w:pPr>
              <w:widowControl/>
              <w:rPr>
                <w:rFonts w:ascii="宋体" w:hAnsi="宋体" w:cs="宋体"/>
                <w:sz w:val="20"/>
                <w:szCs w:val="20"/>
              </w:rPr>
            </w:pPr>
            <w:r>
              <w:rPr>
                <w:rFonts w:hint="eastAsia" w:ascii="宋体" w:hAnsi="宋体" w:eastAsia="宋体" w:cs="宋体"/>
                <w:sz w:val="20"/>
                <w:szCs w:val="13"/>
              </w:rPr>
              <w:t>根据供应商针对本项目提供的合理化建议情况（包括但不限于：工程人员安排合理化建议、工程材料控制合理化建议、工程机械配置合理化建议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r w14:paraId="3D4E5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72" w:type="dxa"/>
            <w:shd w:val="clear" w:color="auto" w:fill="auto"/>
            <w:vAlign w:val="center"/>
          </w:tcPr>
          <w:p w14:paraId="327726FB">
            <w:pPr>
              <w:widowControl/>
              <w:jc w:val="center"/>
              <w:rPr>
                <w:rFonts w:ascii="宋体" w:hAnsi="宋体" w:cs="宋体"/>
                <w:kern w:val="0"/>
                <w:sz w:val="20"/>
                <w:szCs w:val="20"/>
                <w:lang w:bidi="ar"/>
              </w:rPr>
            </w:pPr>
            <w:r>
              <w:rPr>
                <w:rFonts w:hint="eastAsia" w:ascii="宋体" w:hAnsi="宋体" w:cs="宋体"/>
                <w:kern w:val="0"/>
                <w:sz w:val="20"/>
                <w:szCs w:val="20"/>
                <w:lang w:bidi="ar"/>
              </w:rPr>
              <w:t>项目资料档案管理制度</w:t>
            </w:r>
          </w:p>
        </w:tc>
        <w:tc>
          <w:tcPr>
            <w:tcW w:w="825" w:type="dxa"/>
            <w:shd w:val="clear" w:color="auto" w:fill="auto"/>
            <w:vAlign w:val="center"/>
          </w:tcPr>
          <w:p w14:paraId="1C690C21">
            <w:pPr>
              <w:widowControl/>
              <w:jc w:val="center"/>
              <w:rPr>
                <w:rFonts w:ascii="宋体" w:hAnsi="宋体" w:cs="宋体"/>
                <w:kern w:val="0"/>
                <w:sz w:val="20"/>
                <w:szCs w:val="20"/>
                <w:lang w:bidi="ar"/>
              </w:rPr>
            </w:pPr>
            <w:r>
              <w:rPr>
                <w:rFonts w:hint="eastAsia" w:ascii="宋体" w:hAnsi="宋体" w:cs="宋体"/>
                <w:kern w:val="0"/>
                <w:sz w:val="20"/>
                <w:szCs w:val="20"/>
                <w:lang w:bidi="ar"/>
              </w:rPr>
              <w:t>3</w:t>
            </w:r>
          </w:p>
        </w:tc>
        <w:tc>
          <w:tcPr>
            <w:tcW w:w="6923" w:type="dxa"/>
            <w:shd w:val="clear" w:color="auto" w:fill="auto"/>
          </w:tcPr>
          <w:p w14:paraId="1151F2FE">
            <w:pPr>
              <w:widowControl/>
              <w:rPr>
                <w:rFonts w:ascii="宋体" w:hAnsi="宋体" w:cs="宋体"/>
                <w:b/>
                <w:bCs/>
                <w:kern w:val="0"/>
                <w:sz w:val="20"/>
                <w:szCs w:val="20"/>
                <w:lang w:bidi="ar"/>
              </w:rPr>
            </w:pPr>
            <w:r>
              <w:rPr>
                <w:rFonts w:hint="eastAsia" w:ascii="宋体" w:hAnsi="宋体" w:eastAsia="宋体" w:cs="宋体"/>
                <w:sz w:val="20"/>
                <w:szCs w:val="13"/>
              </w:rPr>
              <w:t>根据供应商针对本项目提供的项目资料档案管理制度（包括但不限于：资料室设立情况、资料目录编排、项目资料出入库管理制度等），由评委进行评分：方案包含的要点齐全无缺漏项、内容与要点相符、每个要点均有展开详细的阐述且能够适用于本项目、合理、可靠性强且完全满足本项目的得3分；方案所包含的要点齐全、内容与要点相符、每个要点均有展开阐述（没有特别具体）但基本能够适用于本项目、合理、可靠性较强且大部分满足本项目的得2.85分；方案所包含的要点齐全、内容与要点相符但仅有纲要、内容简略，未展开详细阐述但小部分能满足于本项目的得2.7分；方案未提供或内容存在明显错误、内容明显不适用于本项目需求的均不得分。</w:t>
            </w:r>
          </w:p>
        </w:tc>
      </w:tr>
    </w:tbl>
    <w:p w14:paraId="5477294A">
      <w:pPr>
        <w:pStyle w:val="9"/>
        <w:rPr>
          <w:rStyle w:val="10"/>
          <w:rFonts w:hint="default"/>
          <w:color w:val="auto"/>
          <w:kern w:val="2"/>
        </w:rPr>
      </w:pPr>
      <w:r>
        <w:rPr>
          <w:rStyle w:val="10"/>
          <w:color w:val="auto"/>
          <w:kern w:val="2"/>
        </w:rPr>
        <w:t>三、商务部分评分PB 满分为8分</w:t>
      </w:r>
    </w:p>
    <w:tbl>
      <w:tblPr>
        <w:tblStyle w:val="6"/>
        <w:tblW w:w="872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1"/>
        <w:gridCol w:w="836"/>
        <w:gridCol w:w="6923"/>
      </w:tblGrid>
      <w:tr w14:paraId="36582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2" w:hRule="atLeast"/>
        </w:trPr>
        <w:tc>
          <w:tcPr>
            <w:tcW w:w="961" w:type="dxa"/>
          </w:tcPr>
          <w:p w14:paraId="1F58D7A3">
            <w:pPr>
              <w:pStyle w:val="9"/>
              <w:jc w:val="center"/>
              <w:rPr>
                <w:rFonts w:hint="default" w:ascii="宋体" w:hAnsi="宋体" w:cs="宋体"/>
              </w:rPr>
            </w:pPr>
            <w:r>
              <w:rPr>
                <w:rFonts w:ascii="宋体" w:hAnsi="宋体" w:cs="宋体"/>
              </w:rPr>
              <w:t>项目</w:t>
            </w:r>
          </w:p>
        </w:tc>
        <w:tc>
          <w:tcPr>
            <w:tcW w:w="836" w:type="dxa"/>
          </w:tcPr>
          <w:p w14:paraId="2160D836">
            <w:pPr>
              <w:pStyle w:val="9"/>
              <w:jc w:val="center"/>
              <w:rPr>
                <w:rFonts w:hint="default" w:ascii="宋体" w:hAnsi="宋体" w:cs="宋体"/>
              </w:rPr>
            </w:pPr>
            <w:r>
              <w:rPr>
                <w:rFonts w:ascii="宋体" w:hAnsi="宋体" w:cs="宋体"/>
              </w:rPr>
              <w:t>分值</w:t>
            </w:r>
          </w:p>
        </w:tc>
        <w:tc>
          <w:tcPr>
            <w:tcW w:w="6923" w:type="dxa"/>
          </w:tcPr>
          <w:p w14:paraId="097CB63F">
            <w:pPr>
              <w:pStyle w:val="9"/>
              <w:jc w:val="center"/>
              <w:rPr>
                <w:rFonts w:hint="default" w:ascii="宋体" w:hAnsi="宋体" w:cs="宋体"/>
              </w:rPr>
            </w:pPr>
            <w:r>
              <w:rPr>
                <w:rFonts w:ascii="宋体" w:hAnsi="宋体" w:cs="宋体"/>
              </w:rPr>
              <w:t>描述</w:t>
            </w:r>
          </w:p>
        </w:tc>
      </w:tr>
      <w:tr w14:paraId="7F407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 w:hRule="atLeast"/>
        </w:trPr>
        <w:tc>
          <w:tcPr>
            <w:tcW w:w="961" w:type="dxa"/>
          </w:tcPr>
          <w:p w14:paraId="7511F0E4">
            <w:pPr>
              <w:pStyle w:val="9"/>
              <w:rPr>
                <w:rFonts w:hint="default" w:ascii="宋体" w:hAnsi="宋体" w:cs="宋体"/>
                <w:kern w:val="2"/>
              </w:rPr>
            </w:pPr>
            <w:r>
              <w:rPr>
                <w:rFonts w:ascii="宋体" w:hAnsi="宋体" w:cs="宋体"/>
                <w:kern w:val="2"/>
              </w:rPr>
              <w:t>总监理工程师能力</w:t>
            </w:r>
          </w:p>
        </w:tc>
        <w:tc>
          <w:tcPr>
            <w:tcW w:w="836" w:type="dxa"/>
            <w:vAlign w:val="center"/>
          </w:tcPr>
          <w:p w14:paraId="436F4E84">
            <w:pPr>
              <w:widowControl/>
              <w:jc w:val="center"/>
              <w:rPr>
                <w:rFonts w:ascii="宋体" w:hAnsi="宋体" w:cs="宋体"/>
                <w:sz w:val="20"/>
                <w:szCs w:val="20"/>
              </w:rPr>
            </w:pPr>
            <w:r>
              <w:rPr>
                <w:rFonts w:ascii="宋体" w:hAnsi="宋体" w:cs="宋体"/>
                <w:kern w:val="0"/>
                <w:sz w:val="20"/>
                <w:szCs w:val="20"/>
                <w:lang w:bidi="ar"/>
              </w:rPr>
              <w:t>3</w:t>
            </w:r>
          </w:p>
        </w:tc>
        <w:tc>
          <w:tcPr>
            <w:tcW w:w="6923" w:type="dxa"/>
            <w:vAlign w:val="center"/>
          </w:tcPr>
          <w:p w14:paraId="09AC0BB2">
            <w:pPr>
              <w:widowControl/>
              <w:rPr>
                <w:rFonts w:ascii="宋体" w:hAnsi="宋体" w:cs="宋体"/>
                <w:sz w:val="20"/>
                <w:szCs w:val="20"/>
                <w:highlight w:val="none"/>
              </w:rPr>
            </w:pPr>
            <w:r>
              <w:rPr>
                <w:rFonts w:hint="eastAsia" w:ascii="宋体" w:hAnsi="宋体" w:eastAsia="宋体" w:cs="宋体"/>
                <w:sz w:val="20"/>
                <w:szCs w:val="13"/>
              </w:rPr>
              <w:t>供应商拟派本项目的总监理工程师具有与建筑工程相关专业中级（含）及以上职称证书的得1.5分，具有国家注册一级造价工程师证书的得1.5分。供应商须提供总监理工程师职称证书复印件、国家注册一级造价工程师证书复印件均加盖公章（上述两种证书材料上的工作单位应与报价人单位名称一致），未提供或不符合要求的均不得分。提交响应文件截止时间前六个月（不含提交响应文件截止时间的当月）中任意一个月份供应商为其缴纳的社会保险（至少包括养老保险）证明材料复印件（加盖章）。未提供或不符合要求的本项全不得分。</w:t>
            </w:r>
          </w:p>
        </w:tc>
      </w:tr>
      <w:tr w14:paraId="7FCFF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961" w:type="dxa"/>
            <w:shd w:val="clear" w:color="auto" w:fill="auto"/>
            <w:vAlign w:val="center"/>
          </w:tcPr>
          <w:p w14:paraId="04A73D40">
            <w:pPr>
              <w:pStyle w:val="9"/>
              <w:rPr>
                <w:rFonts w:ascii="宋体" w:hAnsi="宋体" w:cs="宋体"/>
                <w:kern w:val="2"/>
              </w:rPr>
            </w:pPr>
            <w:r>
              <w:rPr>
                <w:rFonts w:ascii="宋体" w:hAnsi="宋体" w:cs="宋体"/>
                <w:kern w:val="2"/>
              </w:rPr>
              <w:t>检测仪器设备配备</w:t>
            </w:r>
          </w:p>
        </w:tc>
        <w:tc>
          <w:tcPr>
            <w:tcW w:w="836" w:type="dxa"/>
            <w:shd w:val="clear" w:color="auto" w:fill="auto"/>
            <w:vAlign w:val="center"/>
          </w:tcPr>
          <w:p w14:paraId="1EE56A84">
            <w:pPr>
              <w:pStyle w:val="9"/>
              <w:jc w:val="center"/>
              <w:rPr>
                <w:rFonts w:ascii="宋体" w:hAnsi="宋体" w:cs="宋体"/>
                <w:kern w:val="2"/>
                <w:highlight w:val="yellow"/>
              </w:rPr>
            </w:pPr>
            <w:r>
              <w:rPr>
                <w:rFonts w:ascii="宋体" w:hAnsi="宋体" w:cs="宋体"/>
                <w:kern w:val="2"/>
              </w:rPr>
              <w:t>2</w:t>
            </w:r>
          </w:p>
        </w:tc>
        <w:tc>
          <w:tcPr>
            <w:tcW w:w="6923" w:type="dxa"/>
            <w:shd w:val="clear" w:color="auto" w:fill="auto"/>
          </w:tcPr>
          <w:p w14:paraId="6233FF24">
            <w:pPr>
              <w:pStyle w:val="9"/>
              <w:rPr>
                <w:rStyle w:val="10"/>
                <w:b w:val="0"/>
                <w:bCs w:val="0"/>
                <w:color w:val="auto"/>
                <w:kern w:val="2"/>
                <w:highlight w:val="none"/>
              </w:rPr>
            </w:pPr>
            <w:r>
              <w:rPr>
                <w:rFonts w:hint="eastAsia" w:ascii="宋体" w:hAnsi="宋体" w:eastAsia="宋体" w:cs="宋体"/>
                <w:sz w:val="20"/>
                <w:szCs w:val="13"/>
              </w:rPr>
              <w:t>项目监理机构需配备（包括但不限于电脑、数码照相机、打印机、水准仪、回弹仪、游标卡尺等）完成本项目所需的设备，并提交承诺函（格式自理）加盖公章，得基本分2分，未提供或承诺不明确的不得分。</w:t>
            </w:r>
          </w:p>
        </w:tc>
      </w:tr>
      <w:tr w14:paraId="0E095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961" w:type="dxa"/>
            <w:shd w:val="clear" w:color="auto" w:fill="auto"/>
            <w:vAlign w:val="center"/>
          </w:tcPr>
          <w:p w14:paraId="20C99B63">
            <w:pPr>
              <w:pStyle w:val="9"/>
              <w:rPr>
                <w:rFonts w:hint="default" w:ascii="宋体" w:hAnsi="宋体" w:cs="宋体"/>
                <w:kern w:val="2"/>
              </w:rPr>
            </w:pPr>
            <w:r>
              <w:rPr>
                <w:rFonts w:ascii="宋体" w:hAnsi="宋体" w:cs="宋体"/>
                <w:kern w:val="2"/>
              </w:rPr>
              <w:t>企业业绩</w:t>
            </w:r>
          </w:p>
        </w:tc>
        <w:tc>
          <w:tcPr>
            <w:tcW w:w="836" w:type="dxa"/>
            <w:shd w:val="clear" w:color="auto" w:fill="auto"/>
            <w:vAlign w:val="center"/>
          </w:tcPr>
          <w:p w14:paraId="52940759">
            <w:pPr>
              <w:pStyle w:val="9"/>
              <w:jc w:val="center"/>
              <w:rPr>
                <w:rFonts w:hint="default" w:ascii="宋体" w:hAnsi="宋体" w:cs="宋体"/>
                <w:kern w:val="2"/>
              </w:rPr>
            </w:pPr>
            <w:r>
              <w:rPr>
                <w:rFonts w:hint="default" w:ascii="宋体" w:hAnsi="宋体" w:cs="宋体"/>
                <w:kern w:val="2"/>
              </w:rPr>
              <w:t>3</w:t>
            </w:r>
          </w:p>
        </w:tc>
        <w:tc>
          <w:tcPr>
            <w:tcW w:w="6923" w:type="dxa"/>
            <w:shd w:val="clear" w:color="auto" w:fill="auto"/>
          </w:tcPr>
          <w:p w14:paraId="462D803C">
            <w:pPr>
              <w:pStyle w:val="9"/>
              <w:rPr>
                <w:rFonts w:hint="default" w:ascii="宋体" w:hAnsi="宋体" w:cs="宋体"/>
                <w:kern w:val="2"/>
                <w:highlight w:val="none"/>
              </w:rPr>
            </w:pPr>
            <w:r>
              <w:rPr>
                <w:rFonts w:hint="eastAsia" w:ascii="宋体" w:hAnsi="宋体" w:eastAsia="宋体" w:cs="宋体"/>
                <w:sz w:val="20"/>
                <w:szCs w:val="13"/>
              </w:rPr>
              <w:t>磋商小组根据各供应商所提供自2022年1月1日至首次递交响应文件截止时间止（日期以业主验收证明日期为准）由供应商所完成的与本项目同类项目的业绩情况进行评分，每提供一份有效的业绩的得1.5分，满分3分。 注：供应商需提供相关业绩中标公告的网页截图并注明网址、采购合同文本复印件及相关业主验收证明文本复印件（所有材料均需加盖公章并注明复印件与原件一致），未提供证明材料或提供材料不全的本项不得分。采购人将保留要求供应商提供原件予以备查的权利。评标过程中如发现填报不实，本项不得分。</w:t>
            </w:r>
            <w:bookmarkStart w:id="0" w:name="_GoBack"/>
            <w:bookmarkEnd w:id="0"/>
          </w:p>
        </w:tc>
      </w:tr>
    </w:tbl>
    <w:p w14:paraId="76499F5E"/>
    <w:p w14:paraId="776280D5"/>
    <w:p w14:paraId="1296A3D7"/>
    <w:p w14:paraId="132CB67D"/>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2A"/>
    <w:rsid w:val="00045BD1"/>
    <w:rsid w:val="003F3170"/>
    <w:rsid w:val="005D2A74"/>
    <w:rsid w:val="005E55F3"/>
    <w:rsid w:val="009C642A"/>
    <w:rsid w:val="009C6BD1"/>
    <w:rsid w:val="009D0317"/>
    <w:rsid w:val="00FF400D"/>
    <w:rsid w:val="01D756D0"/>
    <w:rsid w:val="02E46C86"/>
    <w:rsid w:val="09F6686B"/>
    <w:rsid w:val="113048B2"/>
    <w:rsid w:val="13DD2D88"/>
    <w:rsid w:val="142E5306"/>
    <w:rsid w:val="143B6EBE"/>
    <w:rsid w:val="159909C9"/>
    <w:rsid w:val="23FB2BC0"/>
    <w:rsid w:val="25313434"/>
    <w:rsid w:val="31034B6B"/>
    <w:rsid w:val="3239318B"/>
    <w:rsid w:val="33235B82"/>
    <w:rsid w:val="34832F99"/>
    <w:rsid w:val="380035AB"/>
    <w:rsid w:val="39C1686B"/>
    <w:rsid w:val="44BE1C38"/>
    <w:rsid w:val="498550B6"/>
    <w:rsid w:val="4B9F2266"/>
    <w:rsid w:val="54F43E64"/>
    <w:rsid w:val="58E407D3"/>
    <w:rsid w:val="591A783D"/>
    <w:rsid w:val="604E5350"/>
    <w:rsid w:val="63A04A28"/>
    <w:rsid w:val="6FFC15CE"/>
    <w:rsid w:val="73316008"/>
    <w:rsid w:val="7FA4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Subtitle"/>
    <w:next w:val="1"/>
    <w:qFormat/>
    <w:uiPriority w:val="0"/>
    <w:pPr>
      <w:wordWrap w:val="0"/>
      <w:spacing w:after="60"/>
      <w:jc w:val="center"/>
    </w:pPr>
    <w:rPr>
      <w:rFonts w:ascii="宋体" w:hAnsi="宋体" w:eastAsia="宋体" w:cs="宋体"/>
      <w:sz w:val="24"/>
      <w:lang w:val="en-US" w:eastAsia="zh-CN" w:bidi="ar-SA"/>
    </w:rPr>
  </w:style>
  <w:style w:type="paragraph" w:styleId="5">
    <w:name w:val="Normal (Web)"/>
    <w:basedOn w:val="1"/>
    <w:next w:val="4"/>
    <w:qFormat/>
    <w:uiPriority w:val="0"/>
    <w:pPr>
      <w:spacing w:beforeAutospacing="1" w:afterAutospacing="1"/>
      <w:jc w:val="left"/>
    </w:pPr>
    <w:rPr>
      <w:kern w:val="0"/>
      <w:sz w:val="24"/>
    </w:rPr>
  </w:style>
  <w:style w:type="character" w:styleId="8">
    <w:name w:val="Strong"/>
    <w:basedOn w:val="7"/>
    <w:qFormat/>
    <w:uiPriority w:val="0"/>
    <w:rPr>
      <w:b/>
    </w:rPr>
  </w:style>
  <w:style w:type="paragraph" w:customStyle="1" w:styleId="9">
    <w:name w:val="null3"/>
    <w:qFormat/>
    <w:uiPriority w:val="0"/>
    <w:rPr>
      <w:rFonts w:hint="eastAsia" w:ascii="Calibri" w:hAnsi="Calibri" w:eastAsia="宋体" w:cs="Times New Roman"/>
      <w:lang w:val="en-US" w:eastAsia="zh-CN" w:bidi="ar-SA"/>
    </w:rPr>
  </w:style>
  <w:style w:type="character" w:customStyle="1" w:styleId="10">
    <w:name w:val="font11"/>
    <w:basedOn w:val="7"/>
    <w:qFormat/>
    <w:uiPriority w:val="0"/>
    <w:rPr>
      <w:rFonts w:hint="eastAsia" w:ascii="宋体" w:hAnsi="宋体" w:eastAsia="宋体" w:cs="宋体"/>
      <w:b/>
      <w:bCs/>
      <w:color w:val="0000FF"/>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3912</Words>
  <Characters>3987</Characters>
  <Lines>28</Lines>
  <Paragraphs>7</Paragraphs>
  <TotalTime>0</TotalTime>
  <ScaleCrop>false</ScaleCrop>
  <LinksUpToDate>false</LinksUpToDate>
  <CharactersWithSpaces>3992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2026-04-26T16:49:00Z</dcterms:created>
  <dc:creator>Administrator</dc:creator>
  <cp:lastModifiedBy>30916</cp:lastModifiedBy>
  <cp:lastPrinted>2026-05-14T09:00:00Z</cp:lastPrinted>
  <dcterms:modified xsi:type="dcterms:W3CDTF">2026-05-15T13:50:54Z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eyJoZGlkIjoiZDRhZjk4ZTYzYjE5ZjMxY2IwMGZiMjEyMTQ5YzliMjUifQ==</vt:lpwstr>
  </property>
  <property fmtid="{D5CDD505-2E9C-101B-9397-08002B2CF9AE}" pid="4" name="ICV">
    <vt:lpwstr>E46D2C0E4F96443A912B3B95B7EB4EB9_13</vt:lpwstr>
  </property>
</Properties>
</file>