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FEB6">
      <w:pPr>
        <w:rPr>
          <w:rFonts w:hint="eastAsia" w:ascii="宋体" w:hAnsi="宋体" w:eastAsia="宋体" w:cs="宋体"/>
          <w:b/>
          <w:bCs/>
          <w:sz w:val="44"/>
          <w:szCs w:val="44"/>
          <w:lang w:eastAsia="zh-CN"/>
        </w:rPr>
      </w:pPr>
      <w:commentRangeStart w:id="0"/>
      <w:r>
        <w:rPr>
          <w:rFonts w:hint="eastAsia" w:ascii="宋体" w:hAnsi="宋体" w:eastAsia="宋体" w:cs="宋体"/>
          <w:b/>
          <w:bCs/>
          <w:sz w:val="44"/>
          <w:szCs w:val="44"/>
        </w:rPr>
        <w:t>综合评分法</w:t>
      </w:r>
      <w:commentRangeEnd w:id="0"/>
      <w:r>
        <w:rPr>
          <w:rFonts w:hint="eastAsia" w:ascii="宋体" w:hAnsi="宋体" w:eastAsia="宋体" w:cs="宋体"/>
          <w:b/>
          <w:bCs/>
          <w:sz w:val="44"/>
          <w:szCs w:val="44"/>
        </w:rPr>
        <w:commentReference w:id="0"/>
      </w:r>
      <w:r>
        <w:rPr>
          <w:rFonts w:hint="eastAsia" w:ascii="宋体" w:hAnsi="宋体" w:eastAsia="宋体" w:cs="宋体"/>
          <w:b/>
          <w:bCs/>
          <w:sz w:val="44"/>
          <w:szCs w:val="44"/>
          <w:lang w:eastAsia="zh-CN"/>
        </w:rPr>
        <w:t>：</w:t>
      </w:r>
    </w:p>
    <w:p w14:paraId="17E058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各项评审因素的设置如下：</w:t>
      </w:r>
    </w:p>
    <w:p w14:paraId="0C0ED64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报价部分评分PF 满分为1</w:t>
      </w:r>
      <w:r>
        <w:rPr>
          <w:rFonts w:hint="eastAsia" w:ascii="宋体" w:hAnsi="宋体" w:eastAsia="宋体" w:cs="宋体"/>
          <w:b/>
          <w:bCs/>
          <w:sz w:val="28"/>
          <w:szCs w:val="28"/>
          <w:lang w:val="en-US"/>
        </w:rPr>
        <w:t>0</w:t>
      </w:r>
      <w:r>
        <w:rPr>
          <w:rFonts w:hint="eastAsia" w:ascii="宋体" w:hAnsi="宋体" w:eastAsia="宋体" w:cs="宋体"/>
          <w:b/>
          <w:bCs/>
          <w:sz w:val="28"/>
          <w:szCs w:val="28"/>
        </w:rPr>
        <w:t>.00分</w:t>
      </w:r>
    </w:p>
    <w:p w14:paraId="5783A5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价格分采用低价优先法计算，即满足比选文件要求且最后报价最低的供应商的价格为比选基准价，其价格分为满分。其他供应商的价格分统一按照下列公式计算： F1指价格项评审因素得分=（比选基准价／最后比选报价）×价格权值×1</w:t>
      </w:r>
      <w:bookmarkStart w:id="1" w:name="_GoBack"/>
      <w:bookmarkEnd w:id="1"/>
      <w:r>
        <w:rPr>
          <w:rFonts w:hint="eastAsia" w:ascii="宋体" w:hAnsi="宋体" w:eastAsia="宋体" w:cs="宋体"/>
          <w:sz w:val="28"/>
          <w:szCs w:val="28"/>
        </w:rPr>
        <w:t>00。</w:t>
      </w:r>
    </w:p>
    <w:p w14:paraId="7F852E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其他：根据《关于在相关自由贸易试验区和自由贸易港开展推动解决政府采购异常低价问题试点工作的通知》（财办库〔2024〕265号）文件精神，政府采购评审中出现下列情形之一的，评审委员会将启动异常低价投标（响应）审查程序：</w:t>
      </w:r>
    </w:p>
    <w:p w14:paraId="54C609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（一）投标（响应）报价低于全部通过符合性审查供应商投标（响应）报价平均值50%的，即投标（响应）报价&lt;全部通过符合性审查供应商投标（响应）报价平均值×50%；</w:t>
      </w:r>
    </w:p>
    <w:p w14:paraId="08C0A2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（二）投标（响应）报价低于通过符合性审查且报价次低供应商投标（响应）报价50%的，即投标（响应）报价&lt;通过符合性审查且报价次低供应商投标（响应）报价×50%；</w:t>
      </w:r>
    </w:p>
    <w:p w14:paraId="4CF3DB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（三）投标（响应）报价低于采购项目最高限价45%的，即投标（响应）报价&lt;采购项目最高限价×45%；</w:t>
      </w:r>
    </w:p>
    <w:p w14:paraId="317BC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（四）其他评审委员会认为供应商报价过低，有可能影响产品质量或者不能诚信履约的情形。</w:t>
      </w:r>
    </w:p>
    <w:p w14:paraId="35B455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评审委员会启动异常低价投标（响应）审查后，投标人应当在评审现场合理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其投标（响应）将作为无效投标（响应）处理，并在评审报告中记录审查相关情况。</w:t>
      </w:r>
    </w:p>
    <w:p w14:paraId="31DB905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技术部分评分PT 满分为</w:t>
      </w:r>
      <w:r>
        <w:rPr>
          <w:rFonts w:hint="eastAsia" w:ascii="宋体" w:hAnsi="宋体" w:eastAsia="宋体" w:cs="宋体"/>
          <w:b/>
          <w:bCs/>
          <w:sz w:val="28"/>
          <w:szCs w:val="28"/>
          <w:lang w:val="en-US" w:eastAsia="zh-CN"/>
        </w:rPr>
        <w:t>79</w:t>
      </w:r>
      <w:r>
        <w:rPr>
          <w:rFonts w:hint="eastAsia" w:ascii="宋体" w:hAnsi="宋体" w:eastAsia="宋体" w:cs="宋体"/>
          <w:b/>
          <w:bCs/>
          <w:sz w:val="28"/>
          <w:szCs w:val="28"/>
        </w:rPr>
        <w:t>.00分</w:t>
      </w:r>
    </w:p>
    <w:tbl>
      <w:tblPr>
        <w:tblStyle w:val="10"/>
        <w:tblW w:w="9240" w:type="dxa"/>
        <w:tblInd w:w="5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890"/>
        <w:gridCol w:w="831"/>
        <w:gridCol w:w="6519"/>
      </w:tblGrid>
      <w:tr w14:paraId="3C220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201FB68F">
            <w:pPr>
              <w:rPr>
                <w:rFonts w:hint="eastAsia" w:ascii="宋体" w:hAnsi="宋体" w:eastAsia="宋体" w:cs="宋体"/>
                <w:sz w:val="28"/>
                <w:szCs w:val="28"/>
              </w:rPr>
            </w:pPr>
            <w:r>
              <w:rPr>
                <w:rFonts w:hint="eastAsia" w:ascii="宋体" w:hAnsi="宋体" w:eastAsia="宋体" w:cs="宋体"/>
                <w:sz w:val="28"/>
                <w:szCs w:val="28"/>
              </w:rPr>
              <w:t>项目</w:t>
            </w:r>
          </w:p>
        </w:tc>
        <w:tc>
          <w:tcPr>
            <w:tcW w:w="831" w:type="dxa"/>
            <w:vAlign w:val="center"/>
          </w:tcPr>
          <w:p w14:paraId="3D94A30F">
            <w:pPr>
              <w:rPr>
                <w:rFonts w:hint="eastAsia" w:ascii="宋体" w:hAnsi="宋体" w:eastAsia="宋体" w:cs="宋体"/>
                <w:sz w:val="28"/>
                <w:szCs w:val="28"/>
              </w:rPr>
            </w:pPr>
            <w:r>
              <w:rPr>
                <w:rFonts w:hint="eastAsia" w:ascii="宋体" w:hAnsi="宋体" w:eastAsia="宋体" w:cs="宋体"/>
                <w:sz w:val="28"/>
                <w:szCs w:val="28"/>
              </w:rPr>
              <w:t>分值</w:t>
            </w:r>
          </w:p>
        </w:tc>
        <w:tc>
          <w:tcPr>
            <w:tcW w:w="6519" w:type="dxa"/>
            <w:vAlign w:val="center"/>
          </w:tcPr>
          <w:p w14:paraId="73022B98">
            <w:pPr>
              <w:rPr>
                <w:rFonts w:hint="eastAsia" w:ascii="宋体" w:hAnsi="宋体" w:eastAsia="宋体" w:cs="宋体"/>
                <w:sz w:val="28"/>
                <w:szCs w:val="28"/>
              </w:rPr>
            </w:pPr>
            <w:r>
              <w:rPr>
                <w:rFonts w:hint="eastAsia" w:ascii="宋体" w:hAnsi="宋体" w:eastAsia="宋体" w:cs="宋体"/>
                <w:sz w:val="28"/>
                <w:szCs w:val="28"/>
              </w:rPr>
              <w:t>描述</w:t>
            </w:r>
          </w:p>
        </w:tc>
      </w:tr>
      <w:tr w14:paraId="53F71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2EA8F7AE">
            <w:pPr>
              <w:rPr>
                <w:rFonts w:hint="eastAsia" w:ascii="宋体" w:hAnsi="宋体" w:eastAsia="宋体" w:cs="宋体"/>
                <w:sz w:val="28"/>
                <w:szCs w:val="28"/>
              </w:rPr>
            </w:pPr>
            <w:r>
              <w:rPr>
                <w:rFonts w:hint="eastAsia" w:ascii="宋体" w:hAnsi="宋体" w:eastAsia="宋体" w:cs="宋体"/>
                <w:sz w:val="28"/>
                <w:szCs w:val="28"/>
              </w:rPr>
              <w:t>1.技术服务响应情况</w:t>
            </w:r>
          </w:p>
        </w:tc>
        <w:tc>
          <w:tcPr>
            <w:tcW w:w="831" w:type="dxa"/>
            <w:vAlign w:val="center"/>
          </w:tcPr>
          <w:p w14:paraId="35A82038">
            <w:pPr>
              <w:jc w:val="both"/>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rPr>
              <w:t>4</w:t>
            </w:r>
            <w:r>
              <w:rPr>
                <w:rFonts w:hint="eastAsia" w:ascii="宋体" w:hAnsi="宋体" w:eastAsia="宋体" w:cs="宋体"/>
                <w:sz w:val="28"/>
                <w:szCs w:val="28"/>
              </w:rPr>
              <w:t>.00</w:t>
            </w:r>
          </w:p>
        </w:tc>
        <w:tc>
          <w:tcPr>
            <w:tcW w:w="6519" w:type="dxa"/>
            <w:vAlign w:val="top"/>
          </w:tcPr>
          <w:p w14:paraId="1FBACB5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根据“技术和服务要求”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详见下文</w:t>
            </w:r>
            <w:r>
              <w:rPr>
                <w:rFonts w:hint="eastAsia" w:ascii="宋体" w:hAnsi="宋体" w:eastAsia="宋体" w:cs="宋体"/>
                <w:sz w:val="28"/>
                <w:szCs w:val="28"/>
                <w:lang w:eastAsia="zh-CN"/>
              </w:rPr>
              <w:t>）</w:t>
            </w:r>
            <w:r>
              <w:rPr>
                <w:rFonts w:hint="eastAsia" w:ascii="宋体" w:hAnsi="宋体" w:eastAsia="宋体" w:cs="宋体"/>
                <w:sz w:val="28"/>
                <w:szCs w:val="28"/>
              </w:rPr>
              <w:t>的各项响应情况进行打分，完全满足技术参数要求的得6</w:t>
            </w:r>
            <w:r>
              <w:rPr>
                <w:rFonts w:hint="eastAsia" w:ascii="宋体" w:hAnsi="宋体" w:eastAsia="宋体" w:cs="宋体"/>
                <w:sz w:val="28"/>
                <w:szCs w:val="28"/>
                <w:lang w:val="en-US"/>
              </w:rPr>
              <w:t>4</w:t>
            </w:r>
            <w:r>
              <w:rPr>
                <w:rFonts w:hint="eastAsia" w:ascii="宋体" w:hAnsi="宋体" w:eastAsia="宋体" w:cs="宋体"/>
                <w:sz w:val="28"/>
                <w:szCs w:val="28"/>
              </w:rPr>
              <w:t>分，其中标注“★”号的参数为实质性条款，出现负偏离视为未实质性响应</w:t>
            </w:r>
            <w:r>
              <w:rPr>
                <w:rFonts w:hint="eastAsia" w:ascii="宋体" w:hAnsi="宋体" w:eastAsia="宋体" w:cs="宋体"/>
                <w:sz w:val="28"/>
                <w:szCs w:val="28"/>
                <w:lang w:val="en-US" w:eastAsia="zh-CN"/>
              </w:rPr>
              <w:t>比选</w:t>
            </w:r>
            <w:r>
              <w:rPr>
                <w:rFonts w:hint="eastAsia" w:ascii="宋体" w:hAnsi="宋体" w:eastAsia="宋体" w:cs="宋体"/>
                <w:sz w:val="28"/>
                <w:szCs w:val="28"/>
              </w:rPr>
              <w:t>文件要求，按无效响应处理；其余的参数（共40项）每负偏离一项扣1.6分，扣完为止，正偏离不加分。</w:t>
            </w:r>
          </w:p>
        </w:tc>
      </w:tr>
      <w:tr w14:paraId="2914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2D7D8D3D">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2.</w:t>
            </w:r>
            <w:r>
              <w:rPr>
                <w:rFonts w:hint="eastAsia" w:ascii="宋体" w:hAnsi="宋体" w:eastAsia="宋体" w:cs="宋体"/>
                <w:sz w:val="28"/>
                <w:szCs w:val="28"/>
              </w:rPr>
              <w:t>管理制度</w:t>
            </w:r>
          </w:p>
        </w:tc>
        <w:tc>
          <w:tcPr>
            <w:tcW w:w="831" w:type="dxa"/>
            <w:vAlign w:val="center"/>
          </w:tcPr>
          <w:p w14:paraId="38D67DA2">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14:paraId="1539EC5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提供的各项管理制度情况，由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14:paraId="137A8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0214A409">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3.</w:t>
            </w:r>
            <w:r>
              <w:rPr>
                <w:rFonts w:hint="eastAsia" w:ascii="宋体" w:hAnsi="宋体" w:eastAsia="宋体" w:cs="宋体"/>
                <w:sz w:val="28"/>
                <w:szCs w:val="28"/>
              </w:rPr>
              <w:t>质量保障措施方案</w:t>
            </w:r>
          </w:p>
        </w:tc>
        <w:tc>
          <w:tcPr>
            <w:tcW w:w="831" w:type="dxa"/>
            <w:vAlign w:val="center"/>
          </w:tcPr>
          <w:p w14:paraId="60180298">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14:paraId="65B380F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为本项目提供的质量保障措施方案，由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14:paraId="37F3E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421541EA">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4.</w:t>
            </w:r>
            <w:r>
              <w:rPr>
                <w:rFonts w:hint="eastAsia" w:ascii="宋体" w:hAnsi="宋体" w:eastAsia="宋体" w:cs="宋体"/>
                <w:sz w:val="28"/>
                <w:szCs w:val="28"/>
              </w:rPr>
              <w:t>进度保证措施方案</w:t>
            </w:r>
          </w:p>
        </w:tc>
        <w:tc>
          <w:tcPr>
            <w:tcW w:w="831" w:type="dxa"/>
            <w:vAlign w:val="center"/>
          </w:tcPr>
          <w:p w14:paraId="3FB112E1">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14:paraId="54ED1DA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提供的进度保证措施情况，由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14:paraId="7EE74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3D68C0F1">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5.</w:t>
            </w:r>
            <w:r>
              <w:rPr>
                <w:rFonts w:hint="eastAsia" w:ascii="宋体" w:hAnsi="宋体" w:eastAsia="宋体" w:cs="宋体"/>
                <w:sz w:val="28"/>
                <w:szCs w:val="28"/>
              </w:rPr>
              <w:t>安全保障措施方案</w:t>
            </w:r>
          </w:p>
        </w:tc>
        <w:tc>
          <w:tcPr>
            <w:tcW w:w="831" w:type="dxa"/>
            <w:vAlign w:val="center"/>
          </w:tcPr>
          <w:p w14:paraId="773DF520">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14:paraId="7082E5E9">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为本项目提供的安全保障措施方案，由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14:paraId="292FA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890" w:type="dxa"/>
            <w:vAlign w:val="center"/>
          </w:tcPr>
          <w:p w14:paraId="08AA400D">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6.</w:t>
            </w:r>
            <w:r>
              <w:rPr>
                <w:rFonts w:hint="eastAsia" w:ascii="宋体" w:hAnsi="宋体" w:eastAsia="宋体" w:cs="宋体"/>
                <w:sz w:val="28"/>
                <w:szCs w:val="28"/>
              </w:rPr>
              <w:t>投资管控方案</w:t>
            </w:r>
          </w:p>
        </w:tc>
        <w:tc>
          <w:tcPr>
            <w:tcW w:w="831" w:type="dxa"/>
            <w:vAlign w:val="center"/>
          </w:tcPr>
          <w:p w14:paraId="46D0564C">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14:paraId="2414DBF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为本项目提供整体项目投资管控方案的完善、合理性，由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bl>
    <w:p w14:paraId="2019CCF0">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商务部分评分PB 满分为</w:t>
      </w:r>
      <w:r>
        <w:rPr>
          <w:rFonts w:hint="eastAsia" w:ascii="宋体" w:hAnsi="宋体" w:eastAsia="宋体" w:cs="宋体"/>
          <w:b/>
          <w:bCs/>
          <w:sz w:val="28"/>
          <w:szCs w:val="28"/>
          <w:lang w:eastAsia="zh-CN"/>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.00分</w:t>
      </w:r>
    </w:p>
    <w:tbl>
      <w:tblPr>
        <w:tblStyle w:val="10"/>
        <w:tblW w:w="9240" w:type="dxa"/>
        <w:tblInd w:w="5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947"/>
        <w:gridCol w:w="831"/>
        <w:gridCol w:w="6462"/>
      </w:tblGrid>
      <w:tr w14:paraId="2C232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947" w:type="dxa"/>
            <w:vAlign w:val="center"/>
          </w:tcPr>
          <w:p w14:paraId="73D00058">
            <w:pPr>
              <w:rPr>
                <w:rFonts w:hint="eastAsia" w:ascii="宋体" w:hAnsi="宋体" w:eastAsia="宋体" w:cs="宋体"/>
                <w:sz w:val="28"/>
                <w:szCs w:val="28"/>
              </w:rPr>
            </w:pPr>
            <w:r>
              <w:rPr>
                <w:rFonts w:hint="eastAsia" w:ascii="宋体" w:hAnsi="宋体" w:eastAsia="宋体" w:cs="宋体"/>
                <w:sz w:val="28"/>
                <w:szCs w:val="28"/>
              </w:rPr>
              <w:t>项目</w:t>
            </w:r>
          </w:p>
        </w:tc>
        <w:tc>
          <w:tcPr>
            <w:tcW w:w="831" w:type="dxa"/>
            <w:vAlign w:val="center"/>
          </w:tcPr>
          <w:p w14:paraId="10048A13">
            <w:pPr>
              <w:rPr>
                <w:rFonts w:hint="eastAsia" w:ascii="宋体" w:hAnsi="宋体" w:eastAsia="宋体" w:cs="宋体"/>
                <w:sz w:val="28"/>
                <w:szCs w:val="28"/>
              </w:rPr>
            </w:pPr>
            <w:r>
              <w:rPr>
                <w:rFonts w:hint="eastAsia" w:ascii="宋体" w:hAnsi="宋体" w:eastAsia="宋体" w:cs="宋体"/>
                <w:sz w:val="28"/>
                <w:szCs w:val="28"/>
              </w:rPr>
              <w:t>分值</w:t>
            </w:r>
          </w:p>
        </w:tc>
        <w:tc>
          <w:tcPr>
            <w:tcW w:w="6462" w:type="dxa"/>
            <w:vAlign w:val="center"/>
          </w:tcPr>
          <w:p w14:paraId="1ABE4709">
            <w:pPr>
              <w:rPr>
                <w:rFonts w:hint="eastAsia" w:ascii="宋体" w:hAnsi="宋体" w:eastAsia="宋体" w:cs="宋体"/>
                <w:sz w:val="28"/>
                <w:szCs w:val="28"/>
              </w:rPr>
            </w:pPr>
            <w:r>
              <w:rPr>
                <w:rFonts w:hint="eastAsia" w:ascii="宋体" w:hAnsi="宋体" w:eastAsia="宋体" w:cs="宋体"/>
                <w:sz w:val="28"/>
                <w:szCs w:val="28"/>
              </w:rPr>
              <w:t>描述</w:t>
            </w:r>
          </w:p>
        </w:tc>
      </w:tr>
      <w:tr w14:paraId="0CB3E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947" w:type="dxa"/>
            <w:vAlign w:val="center"/>
          </w:tcPr>
          <w:p w14:paraId="5AE7CB4D">
            <w:pPr>
              <w:rPr>
                <w:rFonts w:hint="eastAsia" w:ascii="宋体" w:hAnsi="宋体" w:eastAsia="宋体" w:cs="宋体"/>
                <w:sz w:val="28"/>
                <w:szCs w:val="28"/>
                <w:lang w:val="en-US" w:eastAsia="zh-CN"/>
              </w:rPr>
            </w:pPr>
            <w:r>
              <w:rPr>
                <w:rFonts w:hint="eastAsia" w:ascii="宋体" w:hAnsi="宋体" w:eastAsia="宋体" w:cs="宋体"/>
                <w:sz w:val="28"/>
                <w:szCs w:val="28"/>
              </w:rPr>
              <w:t>1.业绩</w:t>
            </w:r>
          </w:p>
        </w:tc>
        <w:tc>
          <w:tcPr>
            <w:tcW w:w="831" w:type="dxa"/>
            <w:vAlign w:val="center"/>
          </w:tcPr>
          <w:p w14:paraId="21604421">
            <w:pPr>
              <w:jc w:val="both"/>
              <w:rPr>
                <w:rFonts w:hint="eastAsia" w:ascii="宋体" w:hAnsi="宋体" w:eastAsia="宋体" w:cs="宋体"/>
                <w:sz w:val="28"/>
                <w:szCs w:val="28"/>
                <w:lang w:val="en-US" w:eastAsia="zh-CN"/>
              </w:rPr>
            </w:pPr>
            <w:r>
              <w:rPr>
                <w:rFonts w:hint="eastAsia" w:ascii="宋体" w:hAnsi="宋体" w:eastAsia="宋体" w:cs="宋体"/>
                <w:sz w:val="28"/>
                <w:szCs w:val="28"/>
              </w:rPr>
              <w:t>3.00</w:t>
            </w:r>
          </w:p>
        </w:tc>
        <w:tc>
          <w:tcPr>
            <w:tcW w:w="6462" w:type="dxa"/>
            <w:vAlign w:val="center"/>
          </w:tcPr>
          <w:p w14:paraId="6701F40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zh-CN"/>
              </w:rPr>
              <w:t>根据供应商提供的</w:t>
            </w:r>
            <w:r>
              <w:rPr>
                <w:rFonts w:hint="eastAsia" w:ascii="宋体" w:hAnsi="宋体" w:eastAsia="宋体" w:cs="宋体"/>
                <w:sz w:val="28"/>
                <w:szCs w:val="28"/>
              </w:rPr>
              <w:t>202</w:t>
            </w:r>
            <w:r>
              <w:rPr>
                <w:rFonts w:hint="eastAsia" w:ascii="宋体" w:hAnsi="宋体" w:eastAsia="宋体" w:cs="宋体"/>
                <w:sz w:val="28"/>
                <w:szCs w:val="28"/>
                <w:lang w:val="en-US"/>
              </w:rPr>
              <w:t>0</w:t>
            </w:r>
            <w:r>
              <w:rPr>
                <w:rFonts w:hint="eastAsia" w:ascii="宋体" w:hAnsi="宋体" w:eastAsia="宋体" w:cs="宋体"/>
                <w:sz w:val="28"/>
                <w:szCs w:val="28"/>
                <w:lang w:val="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val="zh-CN"/>
              </w:rPr>
              <w:t>月</w:t>
            </w:r>
            <w:r>
              <w:rPr>
                <w:rFonts w:hint="eastAsia" w:ascii="宋体" w:hAnsi="宋体" w:eastAsia="宋体" w:cs="宋体"/>
                <w:sz w:val="28"/>
                <w:szCs w:val="28"/>
              </w:rPr>
              <w:t>1</w:t>
            </w:r>
            <w:r>
              <w:rPr>
                <w:rFonts w:hint="eastAsia" w:ascii="宋体" w:hAnsi="宋体" w:eastAsia="宋体" w:cs="宋体"/>
                <w:sz w:val="28"/>
                <w:szCs w:val="28"/>
                <w:lang w:val="zh-CN"/>
              </w:rPr>
              <w:t>日起至提交响应文件截止时间</w:t>
            </w:r>
            <w:r>
              <w:rPr>
                <w:rFonts w:hint="eastAsia" w:ascii="宋体" w:hAnsi="宋体" w:eastAsia="宋体" w:cs="宋体"/>
                <w:sz w:val="28"/>
                <w:szCs w:val="28"/>
                <w:highlight w:val="none"/>
                <w:lang w:val="zh-CN"/>
              </w:rPr>
              <w:t>（以</w:t>
            </w:r>
            <w:r>
              <w:rPr>
                <w:rFonts w:hint="eastAsia" w:ascii="宋体" w:hAnsi="宋体" w:eastAsia="宋体" w:cs="宋体"/>
                <w:sz w:val="28"/>
                <w:szCs w:val="28"/>
                <w:highlight w:val="none"/>
                <w:lang w:val="en-US" w:eastAsia="zh-CN"/>
              </w:rPr>
              <w:t>文物主管部门验收批复为准</w:t>
            </w:r>
            <w:r>
              <w:rPr>
                <w:rFonts w:hint="eastAsia" w:ascii="宋体" w:hAnsi="宋体" w:eastAsia="宋体" w:cs="宋体"/>
                <w:sz w:val="28"/>
                <w:szCs w:val="28"/>
                <w:highlight w:val="none"/>
                <w:lang w:val="zh-CN"/>
              </w:rPr>
              <w:t>），由供应商自身已完成的与本次同</w:t>
            </w:r>
            <w:r>
              <w:rPr>
                <w:rFonts w:hint="eastAsia" w:ascii="宋体" w:hAnsi="宋体" w:eastAsia="宋体" w:cs="宋体"/>
                <w:sz w:val="28"/>
                <w:szCs w:val="28"/>
                <w:highlight w:val="none"/>
                <w:lang w:val="en-US" w:eastAsia="zh-CN"/>
              </w:rPr>
              <w:t>等级（指全国重点文物保护单</w:t>
            </w:r>
            <w:r>
              <w:rPr>
                <w:rFonts w:hint="eastAsia" w:ascii="宋体" w:hAnsi="宋体" w:eastAsia="宋体" w:cs="宋体"/>
                <w:sz w:val="28"/>
                <w:szCs w:val="28"/>
                <w:lang w:val="en-US" w:eastAsia="zh-CN"/>
              </w:rPr>
              <w:t>位的施工监理项目）</w:t>
            </w:r>
            <w:r>
              <w:rPr>
                <w:rFonts w:hint="eastAsia" w:ascii="宋体" w:hAnsi="宋体" w:eastAsia="宋体" w:cs="宋体"/>
                <w:sz w:val="28"/>
                <w:szCs w:val="28"/>
                <w:lang w:val="zh-CN"/>
              </w:rPr>
              <w:t>业绩情况进行评分，每提供一份业绩证明材料得1</w:t>
            </w:r>
            <w:r>
              <w:rPr>
                <w:rFonts w:hint="eastAsia" w:ascii="宋体" w:hAnsi="宋体" w:eastAsia="宋体" w:cs="宋体"/>
                <w:sz w:val="28"/>
                <w:szCs w:val="28"/>
                <w:lang w:val="en-US" w:eastAsia="zh-CN"/>
              </w:rPr>
              <w:t>.5</w:t>
            </w:r>
            <w:r>
              <w:rPr>
                <w:rFonts w:hint="eastAsia" w:ascii="宋体" w:hAnsi="宋体" w:eastAsia="宋体" w:cs="宋体"/>
                <w:sz w:val="28"/>
                <w:szCs w:val="28"/>
                <w:lang w:val="zh-CN"/>
              </w:rPr>
              <w:t>分，满分3分。注：供应商应如实提供业绩证明文件，每份业绩须同时提供①工程监理合同（只须提供合同协议书）、②工程竣工验收证明（工程竣工验收证书或竣工验收报告）、③文物主管部门验收批复的相关证明文件扫描件。未提供或提供不全者不得分。</w:t>
            </w:r>
          </w:p>
        </w:tc>
      </w:tr>
      <w:tr w14:paraId="18816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947" w:type="dxa"/>
            <w:vAlign w:val="center"/>
          </w:tcPr>
          <w:p w14:paraId="0ACBA1B1">
            <w:pPr>
              <w:jc w:val="both"/>
              <w:rPr>
                <w:rFonts w:hint="eastAsia" w:ascii="宋体" w:hAnsi="宋体" w:eastAsia="宋体" w:cs="宋体"/>
                <w:sz w:val="28"/>
                <w:szCs w:val="28"/>
                <w:lang w:val="en-US" w:eastAsia="zh-CN"/>
              </w:rPr>
            </w:pPr>
            <w:r>
              <w:rPr>
                <w:rFonts w:hint="eastAsia" w:ascii="宋体" w:hAnsi="宋体" w:eastAsia="宋体" w:cs="宋体"/>
                <w:sz w:val="28"/>
                <w:szCs w:val="28"/>
              </w:rPr>
              <w:t>2.项目负责人业绩</w:t>
            </w:r>
          </w:p>
        </w:tc>
        <w:tc>
          <w:tcPr>
            <w:tcW w:w="831" w:type="dxa"/>
            <w:vAlign w:val="center"/>
          </w:tcPr>
          <w:p w14:paraId="0BBA4C35">
            <w:pPr>
              <w:jc w:val="both"/>
              <w:rPr>
                <w:rFonts w:hint="eastAsia" w:ascii="宋体" w:hAnsi="宋体" w:eastAsia="宋体" w:cs="宋体"/>
                <w:sz w:val="28"/>
                <w:szCs w:val="28"/>
                <w:lang w:val="en-US" w:eastAsia="zh-CN"/>
              </w:rPr>
            </w:pPr>
            <w:r>
              <w:rPr>
                <w:rFonts w:hint="eastAsia" w:ascii="宋体" w:hAnsi="宋体" w:eastAsia="宋体" w:cs="宋体"/>
                <w:sz w:val="28"/>
                <w:szCs w:val="28"/>
              </w:rPr>
              <w:t>3.00</w:t>
            </w:r>
          </w:p>
        </w:tc>
        <w:tc>
          <w:tcPr>
            <w:tcW w:w="6462" w:type="dxa"/>
            <w:vAlign w:val="top"/>
          </w:tcPr>
          <w:p w14:paraId="166D94B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lang w:val="zh-CN"/>
              </w:rPr>
              <w:t>根据供应商提供的自</w:t>
            </w:r>
            <w:r>
              <w:rPr>
                <w:rFonts w:hint="eastAsia" w:ascii="宋体" w:hAnsi="宋体" w:eastAsia="宋体" w:cs="宋体"/>
                <w:sz w:val="28"/>
                <w:szCs w:val="28"/>
              </w:rPr>
              <w:t>202</w:t>
            </w:r>
            <w:r>
              <w:rPr>
                <w:rFonts w:hint="eastAsia" w:ascii="宋体" w:hAnsi="宋体" w:eastAsia="宋体" w:cs="宋体"/>
                <w:sz w:val="28"/>
                <w:szCs w:val="28"/>
                <w:lang w:val="en-US"/>
              </w:rPr>
              <w:t>0</w:t>
            </w:r>
            <w:r>
              <w:rPr>
                <w:rFonts w:hint="eastAsia" w:ascii="宋体" w:hAnsi="宋体" w:eastAsia="宋体" w:cs="宋体"/>
                <w:sz w:val="28"/>
                <w:szCs w:val="28"/>
                <w:lang w:val="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val="zh-CN"/>
              </w:rPr>
              <w:t>月</w:t>
            </w:r>
            <w:r>
              <w:rPr>
                <w:rFonts w:hint="eastAsia" w:ascii="宋体" w:hAnsi="宋体" w:eastAsia="宋体" w:cs="宋体"/>
                <w:sz w:val="28"/>
                <w:szCs w:val="28"/>
              </w:rPr>
              <w:t>1</w:t>
            </w:r>
            <w:r>
              <w:rPr>
                <w:rFonts w:hint="eastAsia" w:ascii="宋体" w:hAnsi="宋体" w:eastAsia="宋体" w:cs="宋体"/>
                <w:sz w:val="28"/>
                <w:szCs w:val="28"/>
                <w:lang w:val="zh-CN"/>
              </w:rPr>
              <w:t>日起至提交响应文件截止时间（以</w:t>
            </w:r>
            <w:r>
              <w:rPr>
                <w:rFonts w:hint="eastAsia" w:ascii="宋体" w:hAnsi="宋体" w:eastAsia="宋体" w:cs="宋体"/>
                <w:sz w:val="28"/>
                <w:szCs w:val="28"/>
                <w:lang w:val="en-US" w:eastAsia="zh-CN"/>
              </w:rPr>
              <w:t>文物主管部门验收批复为准</w:t>
            </w:r>
            <w:r>
              <w:rPr>
                <w:rFonts w:hint="eastAsia" w:ascii="宋体" w:hAnsi="宋体" w:eastAsia="宋体" w:cs="宋体"/>
                <w:sz w:val="28"/>
                <w:szCs w:val="28"/>
                <w:lang w:val="zh-CN"/>
              </w:rPr>
              <w:t>），拟派项目负责人承担完成过与本次同</w:t>
            </w:r>
            <w:r>
              <w:rPr>
                <w:rFonts w:hint="eastAsia" w:ascii="宋体" w:hAnsi="宋体" w:eastAsia="宋体" w:cs="宋体"/>
                <w:sz w:val="28"/>
                <w:szCs w:val="28"/>
                <w:lang w:val="en-US" w:eastAsia="zh-CN"/>
              </w:rPr>
              <w:t>等级（指全国重点文物保护单位的施工监理项目）</w:t>
            </w:r>
            <w:r>
              <w:rPr>
                <w:rFonts w:hint="eastAsia" w:ascii="宋体" w:hAnsi="宋体" w:eastAsia="宋体" w:cs="宋体"/>
                <w:sz w:val="28"/>
                <w:szCs w:val="28"/>
                <w:lang w:val="zh-CN"/>
              </w:rPr>
              <w:t>业绩项目的项目负责人情况进行评分，每提供一份业绩证明材料得</w:t>
            </w:r>
            <w:r>
              <w:rPr>
                <w:rFonts w:hint="eastAsia" w:ascii="宋体" w:hAnsi="宋体" w:eastAsia="宋体" w:cs="宋体"/>
                <w:sz w:val="28"/>
                <w:szCs w:val="28"/>
                <w:lang w:val="en-US" w:eastAsia="zh-CN"/>
              </w:rPr>
              <w:t>3</w:t>
            </w:r>
            <w:r>
              <w:rPr>
                <w:rFonts w:hint="eastAsia" w:ascii="宋体" w:hAnsi="宋体" w:eastAsia="宋体" w:cs="宋体"/>
                <w:sz w:val="28"/>
                <w:szCs w:val="28"/>
                <w:lang w:val="zh-CN"/>
              </w:rPr>
              <w:t>分，满分3分。注：供应商应如实提供业绩证明文件，每份业绩须同时提供①工程监理合同（只须提供合同协议书）、②工程竣工验收证明（工程竣工验收证书或竣工验收报告）、③文物主管部门验收批复的相关证明文件扫描件，以上证明资料应能体现项目负责人的名字与本项目拟派的一致。未提供或提供不全者不得分。</w:t>
            </w:r>
          </w:p>
        </w:tc>
      </w:tr>
      <w:tr w14:paraId="48AC8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947" w:type="dxa"/>
            <w:vAlign w:val="center"/>
          </w:tcPr>
          <w:p w14:paraId="578EA011">
            <w:pPr>
              <w:rPr>
                <w:rFonts w:hint="eastAsia" w:ascii="宋体" w:hAnsi="宋体" w:eastAsia="宋体" w:cs="宋体"/>
                <w:sz w:val="28"/>
                <w:szCs w:val="28"/>
              </w:rPr>
            </w:pPr>
            <w:r>
              <w:rPr>
                <w:rFonts w:hint="eastAsia" w:ascii="宋体" w:hAnsi="宋体" w:eastAsia="宋体" w:cs="宋体"/>
                <w:sz w:val="28"/>
                <w:szCs w:val="28"/>
              </w:rPr>
              <w:t>3.项目负责人</w:t>
            </w:r>
          </w:p>
        </w:tc>
        <w:tc>
          <w:tcPr>
            <w:tcW w:w="831" w:type="dxa"/>
            <w:vAlign w:val="center"/>
          </w:tcPr>
          <w:p w14:paraId="01674ABF">
            <w:pPr>
              <w:jc w:val="both"/>
              <w:rPr>
                <w:rFonts w:hint="eastAsia" w:ascii="宋体" w:hAnsi="宋体" w:eastAsia="宋体" w:cs="宋体"/>
                <w:sz w:val="28"/>
                <w:szCs w:val="28"/>
              </w:rPr>
            </w:pPr>
            <w:r>
              <w:rPr>
                <w:rFonts w:hint="eastAsia" w:ascii="宋体" w:hAnsi="宋体" w:eastAsia="宋体" w:cs="宋体"/>
                <w:sz w:val="28"/>
                <w:szCs w:val="28"/>
              </w:rPr>
              <w:t>2.00</w:t>
            </w:r>
          </w:p>
        </w:tc>
        <w:tc>
          <w:tcPr>
            <w:tcW w:w="6462" w:type="dxa"/>
            <w:vAlign w:val="top"/>
          </w:tcPr>
          <w:p w14:paraId="4231B1E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zh-CN"/>
              </w:rPr>
            </w:pPr>
            <w:r>
              <w:rPr>
                <w:rFonts w:hint="eastAsia" w:ascii="宋体" w:hAnsi="宋体" w:eastAsia="宋体" w:cs="宋体"/>
                <w:sz w:val="28"/>
                <w:szCs w:val="28"/>
              </w:rPr>
              <w:t>供应商针对本项目配备的项目负责人</w:t>
            </w:r>
            <w:r>
              <w:rPr>
                <w:rFonts w:hint="eastAsia" w:ascii="宋体" w:hAnsi="宋体" w:eastAsia="宋体" w:cs="宋体"/>
                <w:sz w:val="28"/>
                <w:szCs w:val="28"/>
                <w:lang w:eastAsia="zh-CN"/>
              </w:rPr>
              <w:t>（</w:t>
            </w:r>
            <w:r>
              <w:rPr>
                <w:rFonts w:hint="eastAsia" w:ascii="宋体" w:hAnsi="宋体" w:eastAsia="宋体" w:cs="宋体"/>
                <w:sz w:val="28"/>
                <w:szCs w:val="28"/>
              </w:rPr>
              <w:t>总监理工程师</w:t>
            </w:r>
            <w:r>
              <w:rPr>
                <w:rFonts w:hint="eastAsia" w:ascii="宋体" w:hAnsi="宋体" w:eastAsia="宋体" w:cs="宋体"/>
                <w:sz w:val="28"/>
                <w:szCs w:val="28"/>
                <w:lang w:eastAsia="zh-CN"/>
              </w:rPr>
              <w:t>，</w:t>
            </w:r>
            <w:r>
              <w:rPr>
                <w:rFonts w:hint="eastAsia" w:ascii="宋体" w:hAnsi="宋体" w:eastAsia="宋体" w:cs="宋体"/>
                <w:sz w:val="28"/>
                <w:szCs w:val="28"/>
                <w:lang w:val="zh-CN"/>
              </w:rPr>
              <w:t>具备有效的</w:t>
            </w:r>
            <w:r>
              <w:rPr>
                <w:rFonts w:hint="eastAsia" w:ascii="宋体" w:hAnsi="宋体" w:eastAsia="宋体" w:cs="宋体"/>
                <w:sz w:val="28"/>
                <w:szCs w:val="28"/>
                <w:lang w:val="en-US" w:eastAsia="zh-CN"/>
              </w:rPr>
              <w:t>中国古迹遗址保护协会颁发的文物保护责任监理师证书和</w:t>
            </w:r>
            <w:r>
              <w:rPr>
                <w:rFonts w:hint="eastAsia" w:ascii="宋体" w:hAnsi="宋体" w:eastAsia="宋体" w:cs="宋体"/>
                <w:sz w:val="28"/>
                <w:szCs w:val="28"/>
                <w:lang w:val="zh-CN"/>
              </w:rPr>
              <w:t>中华人民共和国注册监理工程师注册执业</w:t>
            </w:r>
            <w:r>
              <w:rPr>
                <w:rFonts w:hint="eastAsia" w:ascii="宋体" w:hAnsi="宋体" w:eastAsia="宋体" w:cs="宋体"/>
                <w:sz w:val="28"/>
                <w:szCs w:val="28"/>
                <w:lang w:val="en-US" w:eastAsia="zh-CN"/>
              </w:rPr>
              <w:t>证书，且担任过全国重点文物保护单位的施工监理项目</w:t>
            </w:r>
            <w:r>
              <w:rPr>
                <w:rFonts w:hint="eastAsia" w:ascii="宋体" w:hAnsi="宋体" w:eastAsia="宋体" w:cs="宋体"/>
                <w:sz w:val="28"/>
                <w:szCs w:val="28"/>
                <w:lang w:val="zh-CN" w:eastAsia="zh-CN"/>
              </w:rPr>
              <w:t>）</w:t>
            </w:r>
            <w:r>
              <w:rPr>
                <w:rFonts w:hint="eastAsia" w:ascii="宋体" w:hAnsi="宋体" w:eastAsia="宋体" w:cs="宋体"/>
                <w:sz w:val="28"/>
                <w:szCs w:val="28"/>
                <w:lang w:val="zh-CN"/>
              </w:rPr>
              <w:t>在满足</w:t>
            </w:r>
            <w:r>
              <w:rPr>
                <w:rFonts w:hint="eastAsia" w:ascii="宋体" w:hAnsi="宋体" w:eastAsia="宋体" w:cs="宋体"/>
                <w:sz w:val="28"/>
                <w:szCs w:val="28"/>
                <w:lang w:val="en-US" w:eastAsia="zh-CN"/>
              </w:rPr>
              <w:t>比选</w:t>
            </w:r>
            <w:r>
              <w:rPr>
                <w:rFonts w:hint="eastAsia" w:ascii="宋体" w:hAnsi="宋体" w:eastAsia="宋体" w:cs="宋体"/>
                <w:sz w:val="28"/>
                <w:szCs w:val="28"/>
                <w:lang w:val="zh-CN"/>
              </w:rPr>
              <w:t>文件资质要求的基础上，具</w:t>
            </w:r>
            <w:r>
              <w:rPr>
                <w:rFonts w:hint="eastAsia" w:ascii="宋体" w:hAnsi="宋体" w:eastAsia="宋体" w:cs="宋体"/>
                <w:sz w:val="28"/>
                <w:szCs w:val="28"/>
                <w:lang w:val="zh-CN" w:eastAsia="zh-CN"/>
              </w:rPr>
              <w:t>有</w:t>
            </w:r>
            <w:r>
              <w:rPr>
                <w:rFonts w:hint="eastAsia" w:ascii="宋体" w:hAnsi="宋体" w:eastAsia="宋体" w:cs="宋体"/>
                <w:sz w:val="28"/>
                <w:szCs w:val="28"/>
                <w:lang w:val="en-US" w:eastAsia="zh-CN"/>
              </w:rPr>
              <w:t>八年以上文物修缮工作经历、</w:t>
            </w:r>
            <w:r>
              <w:rPr>
                <w:rFonts w:hint="eastAsia" w:ascii="宋体" w:hAnsi="宋体" w:eastAsia="宋体" w:cs="宋体"/>
                <w:sz w:val="28"/>
                <w:szCs w:val="28"/>
                <w:lang w:val="zh-CN"/>
              </w:rPr>
              <w:t>具</w:t>
            </w:r>
            <w:r>
              <w:rPr>
                <w:rFonts w:hint="eastAsia" w:ascii="宋体" w:hAnsi="宋体" w:eastAsia="宋体" w:cs="宋体"/>
                <w:sz w:val="28"/>
                <w:szCs w:val="28"/>
                <w:lang w:val="zh-CN" w:eastAsia="zh-CN"/>
              </w:rPr>
              <w:t>有工程类</w:t>
            </w:r>
            <w:r>
              <w:rPr>
                <w:rFonts w:hint="eastAsia" w:ascii="宋体" w:hAnsi="宋体" w:eastAsia="宋体" w:cs="宋体"/>
                <w:sz w:val="28"/>
                <w:szCs w:val="28"/>
                <w:lang w:val="zh-CN"/>
              </w:rPr>
              <w:t>相关专业高级工程师及以上职称的得2分。</w:t>
            </w:r>
          </w:p>
          <w:p w14:paraId="3712BC2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lang w:val="zh-CN"/>
              </w:rPr>
              <w:t>注：须提供</w:t>
            </w:r>
            <w:r>
              <w:rPr>
                <w:rFonts w:hint="eastAsia" w:ascii="宋体" w:hAnsi="宋体" w:eastAsia="宋体" w:cs="宋体"/>
                <w:sz w:val="28"/>
                <w:szCs w:val="28"/>
                <w:lang w:val="en-US" w:eastAsia="zh-CN"/>
              </w:rPr>
              <w:t>相关证明材料包括：</w:t>
            </w:r>
            <w:r>
              <w:rPr>
                <w:rFonts w:hint="eastAsia" w:ascii="宋体" w:hAnsi="宋体" w:eastAsia="宋体" w:cs="宋体"/>
                <w:sz w:val="28"/>
                <w:szCs w:val="28"/>
                <w:lang w:val="zh-CN"/>
              </w:rPr>
              <w:t>证书</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rPr>
              <w:t>、身份证</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监理业绩</w:t>
            </w:r>
            <w:r>
              <w:rPr>
                <w:rFonts w:hint="eastAsia" w:ascii="宋体" w:hAnsi="宋体" w:eastAsia="宋体" w:cs="宋体"/>
                <w:sz w:val="28"/>
                <w:szCs w:val="28"/>
                <w:lang w:val="zh-CN"/>
              </w:rPr>
              <w:t>竣工验收证书或竣工验收报告</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rPr>
              <w:t>以及在提交文件截止时间前</w:t>
            </w:r>
            <w:r>
              <w:rPr>
                <w:rFonts w:hint="eastAsia" w:ascii="宋体" w:hAnsi="宋体" w:eastAsia="宋体" w:cs="宋体"/>
                <w:sz w:val="28"/>
                <w:szCs w:val="28"/>
                <w:lang w:val="en-US" w:eastAsia="zh-CN"/>
              </w:rPr>
              <w:t>八年</w:t>
            </w:r>
            <w:r>
              <w:rPr>
                <w:rFonts w:hint="eastAsia" w:ascii="宋体" w:hAnsi="宋体" w:eastAsia="宋体" w:cs="宋体"/>
                <w:sz w:val="28"/>
                <w:szCs w:val="28"/>
                <w:lang w:val="zh-CN"/>
              </w:rPr>
              <w:t>（不含提交首次响应文件截止时间当月）供应商为其缴纳的</w:t>
            </w:r>
            <w:r>
              <w:rPr>
                <w:rFonts w:hint="eastAsia" w:ascii="宋体" w:hAnsi="宋体" w:eastAsia="宋体" w:cs="宋体"/>
                <w:sz w:val="28"/>
                <w:szCs w:val="28"/>
                <w:highlight w:val="none"/>
                <w:lang w:val="en-US" w:eastAsia="zh-CN"/>
              </w:rPr>
              <w:t>医</w:t>
            </w:r>
            <w:r>
              <w:rPr>
                <w:rFonts w:hint="eastAsia" w:ascii="宋体" w:hAnsi="宋体" w:eastAsia="宋体" w:cs="宋体"/>
                <w:sz w:val="28"/>
                <w:szCs w:val="28"/>
                <w:highlight w:val="none"/>
              </w:rPr>
              <w:t>社</w:t>
            </w:r>
            <w:r>
              <w:rPr>
                <w:rFonts w:hint="eastAsia" w:ascii="宋体" w:hAnsi="宋体" w:eastAsia="宋体" w:cs="宋体"/>
                <w:sz w:val="28"/>
                <w:szCs w:val="28"/>
              </w:rPr>
              <w:t>保证明材料，未提供或提供不全的不得分。</w:t>
            </w:r>
          </w:p>
        </w:tc>
      </w:tr>
      <w:tr w14:paraId="140C9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947" w:type="dxa"/>
            <w:vAlign w:val="center"/>
          </w:tcPr>
          <w:p w14:paraId="160FF6F6">
            <w:pPr>
              <w:rPr>
                <w:rFonts w:hint="eastAsia" w:ascii="宋体" w:hAnsi="宋体" w:eastAsia="宋体" w:cs="宋体"/>
                <w:sz w:val="28"/>
                <w:szCs w:val="28"/>
              </w:rPr>
            </w:pPr>
            <w:r>
              <w:rPr>
                <w:rFonts w:hint="eastAsia" w:ascii="宋体" w:hAnsi="宋体" w:eastAsia="宋体" w:cs="宋体"/>
                <w:sz w:val="28"/>
                <w:szCs w:val="28"/>
                <w:lang w:val="en-US"/>
              </w:rPr>
              <w:t>4</w:t>
            </w:r>
            <w:r>
              <w:rPr>
                <w:rFonts w:hint="eastAsia" w:ascii="宋体" w:hAnsi="宋体" w:eastAsia="宋体" w:cs="宋体"/>
                <w:sz w:val="28"/>
                <w:szCs w:val="28"/>
              </w:rPr>
              <w:t>.安全承诺</w:t>
            </w:r>
          </w:p>
        </w:tc>
        <w:tc>
          <w:tcPr>
            <w:tcW w:w="831" w:type="dxa"/>
            <w:vAlign w:val="center"/>
          </w:tcPr>
          <w:p w14:paraId="35716B7A">
            <w:pPr>
              <w:jc w:val="both"/>
              <w:rPr>
                <w:rFonts w:hint="eastAsia" w:ascii="宋体" w:hAnsi="宋体" w:eastAsia="宋体" w:cs="宋体"/>
                <w:sz w:val="28"/>
                <w:szCs w:val="28"/>
              </w:rPr>
            </w:pPr>
            <w:r>
              <w:rPr>
                <w:rFonts w:hint="eastAsia" w:ascii="宋体" w:hAnsi="宋体" w:eastAsia="宋体" w:cs="宋体"/>
                <w:sz w:val="28"/>
                <w:szCs w:val="28"/>
                <w:lang w:val="en-US"/>
              </w:rPr>
              <w:t>3</w:t>
            </w:r>
            <w:r>
              <w:rPr>
                <w:rFonts w:hint="eastAsia" w:ascii="宋体" w:hAnsi="宋体" w:eastAsia="宋体" w:cs="宋体"/>
                <w:sz w:val="28"/>
                <w:szCs w:val="28"/>
              </w:rPr>
              <w:t>.00</w:t>
            </w:r>
          </w:p>
        </w:tc>
        <w:tc>
          <w:tcPr>
            <w:tcW w:w="6462" w:type="dxa"/>
            <w:vAlign w:val="top"/>
          </w:tcPr>
          <w:p w14:paraId="5981E56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供应商承诺自20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月1日至提交首次响应文件截止时间止未发</w:t>
            </w:r>
            <w:r>
              <w:rPr>
                <w:rFonts w:hint="eastAsia" w:ascii="宋体" w:hAnsi="宋体" w:eastAsia="宋体" w:cs="宋体"/>
                <w:sz w:val="28"/>
                <w:szCs w:val="28"/>
                <w:highlight w:val="none"/>
              </w:rPr>
              <w:t>生</w:t>
            </w:r>
            <w:r>
              <w:rPr>
                <w:rFonts w:hint="eastAsia" w:ascii="宋体" w:hAnsi="宋体" w:eastAsia="宋体" w:cs="宋体"/>
                <w:sz w:val="28"/>
                <w:szCs w:val="28"/>
                <w:highlight w:val="none"/>
                <w:lang w:val="en-US" w:eastAsia="zh-CN"/>
              </w:rPr>
              <w:t>一般及以上</w:t>
            </w:r>
            <w:r>
              <w:rPr>
                <w:rFonts w:hint="eastAsia" w:ascii="宋体" w:hAnsi="宋体" w:eastAsia="宋体" w:cs="宋体"/>
                <w:sz w:val="28"/>
                <w:szCs w:val="28"/>
                <w:highlight w:val="none"/>
              </w:rPr>
              <w:t>安全</w:t>
            </w:r>
            <w:r>
              <w:rPr>
                <w:rFonts w:hint="eastAsia" w:ascii="宋体" w:hAnsi="宋体" w:eastAsia="宋体" w:cs="宋体"/>
                <w:sz w:val="28"/>
                <w:szCs w:val="28"/>
                <w:highlight w:val="none"/>
                <w:lang w:val="en-US" w:eastAsia="zh-CN"/>
              </w:rPr>
              <w:t>责任</w:t>
            </w:r>
            <w:r>
              <w:rPr>
                <w:rFonts w:hint="eastAsia" w:ascii="宋体" w:hAnsi="宋体" w:eastAsia="宋体" w:cs="宋体"/>
                <w:sz w:val="28"/>
                <w:szCs w:val="28"/>
                <w:highlight w:val="none"/>
              </w:rPr>
              <w:t>事</w:t>
            </w:r>
            <w:r>
              <w:rPr>
                <w:rFonts w:hint="eastAsia" w:ascii="宋体" w:hAnsi="宋体" w:eastAsia="宋体" w:cs="宋体"/>
                <w:sz w:val="28"/>
                <w:szCs w:val="28"/>
              </w:rPr>
              <w:t>故的，得</w:t>
            </w:r>
            <w:r>
              <w:rPr>
                <w:rFonts w:hint="eastAsia" w:ascii="宋体" w:hAnsi="宋体" w:eastAsia="宋体" w:cs="宋体"/>
                <w:sz w:val="28"/>
                <w:szCs w:val="28"/>
                <w:lang w:val="en-US"/>
              </w:rPr>
              <w:t>3</w:t>
            </w:r>
            <w:r>
              <w:rPr>
                <w:rFonts w:hint="eastAsia" w:ascii="宋体" w:hAnsi="宋体" w:eastAsia="宋体" w:cs="宋体"/>
                <w:sz w:val="28"/>
                <w:szCs w:val="28"/>
              </w:rPr>
              <w:t>分。</w:t>
            </w:r>
          </w:p>
          <w:p w14:paraId="7DB5E5F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注：须提供</w:t>
            </w:r>
            <w:r>
              <w:rPr>
                <w:rFonts w:hint="eastAsia" w:ascii="宋体" w:hAnsi="宋体" w:eastAsia="宋体" w:cs="宋体"/>
                <w:sz w:val="28"/>
                <w:szCs w:val="28"/>
                <w:lang w:eastAsia="zh-CN"/>
              </w:rPr>
              <w:t>专项</w:t>
            </w:r>
            <w:r>
              <w:rPr>
                <w:rFonts w:hint="eastAsia" w:ascii="宋体" w:hAnsi="宋体" w:eastAsia="宋体" w:cs="宋体"/>
                <w:sz w:val="28"/>
                <w:szCs w:val="28"/>
              </w:rPr>
              <w:t>承诺函并加盖公章，否则不得分，格式自拟。如果发现虚假承诺，取消其成交资格，并追究相应的法律责任和进行相应的赔偿。</w:t>
            </w:r>
          </w:p>
        </w:tc>
      </w:tr>
    </w:tbl>
    <w:p w14:paraId="2FFDB597"/>
    <w:p w14:paraId="3E5A2723">
      <w:pPr>
        <w:rPr>
          <w:rFonts w:hint="eastAsia"/>
        </w:rPr>
      </w:pPr>
      <w:bookmarkStart w:id="0" w:name="_Toc177980191"/>
    </w:p>
    <w:p w14:paraId="5C8C6F2C">
      <w:pPr>
        <w:rPr>
          <w:rFonts w:hint="eastAsia"/>
        </w:rPr>
      </w:pPr>
    </w:p>
    <w:p w14:paraId="2959F3B3">
      <w:pPr>
        <w:rPr>
          <w:rFonts w:hint="eastAsia"/>
        </w:rPr>
      </w:pPr>
    </w:p>
    <w:p w14:paraId="4625DDC6">
      <w:pPr>
        <w:rPr>
          <w:rFonts w:hint="eastAsia"/>
        </w:rPr>
      </w:pPr>
    </w:p>
    <w:p w14:paraId="342E3C86">
      <w:pPr>
        <w:rPr>
          <w:rFonts w:hint="eastAsia"/>
        </w:rPr>
      </w:pPr>
    </w:p>
    <w:p w14:paraId="04C96AEA">
      <w:pPr>
        <w:jc w:val="center"/>
        <w:rPr>
          <w:rFonts w:hint="eastAsia" w:ascii="宋体" w:hAnsi="宋体" w:eastAsia="宋体" w:cs="宋体"/>
          <w:b/>
          <w:bCs/>
          <w:sz w:val="44"/>
          <w:szCs w:val="44"/>
        </w:rPr>
      </w:pPr>
    </w:p>
    <w:p w14:paraId="66B1D6E2">
      <w:pPr>
        <w:jc w:val="center"/>
        <w:rPr>
          <w:rFonts w:hint="eastAsia" w:ascii="宋体" w:hAnsi="宋体" w:eastAsia="宋体" w:cs="宋体"/>
          <w:b/>
          <w:bCs/>
          <w:sz w:val="44"/>
          <w:szCs w:val="44"/>
        </w:rPr>
      </w:pPr>
    </w:p>
    <w:p w14:paraId="6D4EABBA">
      <w:pPr>
        <w:jc w:val="center"/>
        <w:rPr>
          <w:rFonts w:hint="eastAsia" w:ascii="宋体" w:hAnsi="宋体" w:eastAsia="宋体" w:cs="宋体"/>
          <w:b/>
          <w:bCs/>
          <w:sz w:val="44"/>
          <w:szCs w:val="44"/>
        </w:rPr>
      </w:pPr>
    </w:p>
    <w:p w14:paraId="08C2E10A">
      <w:pPr>
        <w:pStyle w:val="2"/>
        <w:rPr>
          <w:rFonts w:hint="eastAsia" w:ascii="宋体" w:hAnsi="宋体" w:eastAsia="宋体" w:cs="宋体"/>
          <w:b/>
          <w:bCs/>
          <w:sz w:val="44"/>
          <w:szCs w:val="44"/>
        </w:rPr>
      </w:pPr>
    </w:p>
    <w:p w14:paraId="2DE48C5B">
      <w:pPr>
        <w:pStyle w:val="6"/>
        <w:rPr>
          <w:rFonts w:hint="eastAsia" w:ascii="宋体" w:hAnsi="宋体" w:eastAsia="宋体" w:cs="宋体"/>
          <w:b/>
          <w:bCs/>
          <w:sz w:val="44"/>
          <w:szCs w:val="44"/>
        </w:rPr>
      </w:pPr>
    </w:p>
    <w:p w14:paraId="130D63BD">
      <w:pPr>
        <w:pStyle w:val="6"/>
        <w:rPr>
          <w:rFonts w:hint="eastAsia" w:ascii="宋体" w:hAnsi="宋体" w:eastAsia="宋体" w:cs="宋体"/>
          <w:b/>
          <w:bCs/>
          <w:sz w:val="44"/>
          <w:szCs w:val="44"/>
        </w:rPr>
      </w:pPr>
    </w:p>
    <w:p w14:paraId="03AB1AA8">
      <w:pPr>
        <w:jc w:val="center"/>
        <w:rPr>
          <w:rFonts w:hint="eastAsia" w:ascii="宋体" w:hAnsi="宋体" w:eastAsia="宋体" w:cs="宋体"/>
          <w:b/>
          <w:bCs/>
          <w:sz w:val="44"/>
          <w:szCs w:val="44"/>
        </w:rPr>
      </w:pPr>
    </w:p>
    <w:p w14:paraId="4C7FAF4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技术和服务要求</w:t>
      </w:r>
      <w:bookmarkEnd w:id="0"/>
    </w:p>
    <w:p w14:paraId="7C2B13C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（一）监理服务基本准则</w:t>
      </w:r>
    </w:p>
    <w:p w14:paraId="4C0C99B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（项1）1、遵照“守法、诚信、公正、科学”的准则执业，维护建设单位与施工单位的合法权益。</w:t>
      </w:r>
    </w:p>
    <w:p w14:paraId="3065E89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2、具体应做到：</w:t>
      </w:r>
    </w:p>
    <w:p w14:paraId="2917AAD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（项2）（1）执行有关项目建设的法律、法规、规范、标准和制度，履行监理合同规定的义务和职责，协助采购人对项目管理进行协助。</w:t>
      </w:r>
    </w:p>
    <w:p w14:paraId="7C71E1F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（项3）（2）不收受施工单位的任何礼金。</w:t>
      </w:r>
    </w:p>
    <w:p w14:paraId="39CC6B1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（项4）（3）不泄露所监理项目各方认为需要保密的事项。</w:t>
      </w:r>
    </w:p>
    <w:p w14:paraId="65FF28B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（项5）（4）遵守国家的法律和政府的有关条例、规定和办法等。</w:t>
      </w:r>
    </w:p>
    <w:p w14:paraId="5BD245C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（项6）（5）坚持公正的立场，独立、公正地处理有关各方的争议。</w:t>
      </w:r>
    </w:p>
    <w:p w14:paraId="7F56024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（项7）（6）坚持科学的态度和实事求是的原则。</w:t>
      </w:r>
    </w:p>
    <w:p w14:paraId="59711FF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（项8）（7）在坚持按监理合同的规定向建设单位提供技术服务的同时，帮助被监理者完成负担的建设任务。</w:t>
      </w:r>
    </w:p>
    <w:p w14:paraId="4B34CE7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（项9）（8）不泄露所监理的项目需保密的事项。</w:t>
      </w:r>
    </w:p>
    <w:p w14:paraId="211F8DC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（二）监理工作内容</w:t>
      </w:r>
    </w:p>
    <w:p w14:paraId="17CB36B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1、施工准备阶段的监理工作</w:t>
      </w:r>
    </w:p>
    <w:p w14:paraId="2B01918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10）（1）总监理工程师应组织监理人员熟悉施工文件，并对图纸中存在的问题通过建设单位向设计单位提出书面意见和建议。项目监理人员应参加由建设单位组织的设计技术交底会，总监理工程师应对设计技术交底会议纪要进行签认。</w:t>
      </w:r>
    </w:p>
    <w:p w14:paraId="3B680EF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11）（2）项目开工前，总监理工程师应组织专业监理工程师审查承包单位报送的施工组织设计（方案）报审表，提出审查意见，并经总监理工程师审核、签认后报建设单位。项目开工前，总监理工程师应审查承包单位现场项目管理机构的质量管理体系、技术管理体系和质量保证体系，确能保证工程项目施工质量时予以确认。</w:t>
      </w:r>
    </w:p>
    <w:p w14:paraId="11372DC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（项12）（3）专业监理工程师应按以下要求对承包单位报送的测量放线控制成果及保护措施进行检查，符合要求时，专业监理工程师对承包单位报送的施工测量成果报验申请表予以签认。</w:t>
      </w:r>
    </w:p>
    <w:p w14:paraId="744A924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（项13）（4）专业监理工程师应审查承包单位报送的工程开工报审表及相关资料，具备开工条件时，由总监理工程师签发，并报建设单位。项目开工前，监理人员应参加由建设单位主持召开的第一次施工会议。</w:t>
      </w:r>
    </w:p>
    <w:p w14:paraId="7A5D938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2、施工阶段</w:t>
      </w:r>
    </w:p>
    <w:p w14:paraId="2629C4E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施工过程中的质量、进度、投资控制，安全与文明施工、合同、信息等方面的协调管理。</w:t>
      </w:r>
    </w:p>
    <w:p w14:paraId="7D27FCE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（1）制定监理工作程序</w:t>
      </w:r>
    </w:p>
    <w:p w14:paraId="35B73A9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（项14）①制定监理工作程序应根据专业工程特点，并按工作内容分别制定具体的监理工作程序。制定监理工作程序应体现事前控制和主动控制的要求。</w:t>
      </w:r>
    </w:p>
    <w:p w14:paraId="67CFE17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（项15）②制定监理工作程序应结合工程项目的特点，注重监理工作的效果。监理工作程序中应明确工作内容、行为主体、考核标准、工作时限。</w:t>
      </w:r>
    </w:p>
    <w:p w14:paraId="4107EA7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（项16）③当涉及到建设单位和承包单位的工作时，监理工作程序应符合委托监理合同和施工合同的规定。在监理工作实施过程中，应根据实际情况的变化对监理工作程序进行调整和完善。</w:t>
      </w:r>
    </w:p>
    <w:p w14:paraId="45C8974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（2）质量控制</w:t>
      </w:r>
    </w:p>
    <w:p w14:paraId="64FD340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17）①在施工过程中,当承包单位对已批准的施工组织设计进行调整、补充或变动时，应经专业监理工程师审查，并应由总监理工程师签认。专业监理工程师应要求承包单位报送重点部位、关键工序的施工工艺和确保工程质量的措施，审核同意后予以签认。</w:t>
      </w:r>
    </w:p>
    <w:p w14:paraId="4F395D3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18）②当项目承包单位采用新设备、新材料、新工艺、新技术、新设备时，专业监理工程师应要求承包单位报送相应的设备说明、施工工艺措施和证明材料，组织专题论证，经审定后予以签认。项目监理机构应对承包单位在施工过程中报送的施工测量放线成果进行复验和确认。</w:t>
      </w:r>
    </w:p>
    <w:p w14:paraId="267D22D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19）③专业监理工程师应对承包单位报送的拟进场工程材料、构配件和设备的工程材料/构配件/设备报审表及其质量证明资料进行审核，并对进场的实物按照委托监理合同约定或有关工程质量管理文件规定的比例采用平行检验或见证取样方式进行抽检。对未经监理人员验收或验收不合格的工程材料、构配件、设备，监理人员应拒绝签认，并应签发监理工程师通知单，书面通知承包单位限期将不合格的工程材料、构配件、设备撤出现场。</w:t>
      </w:r>
    </w:p>
    <w:p w14:paraId="5808781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（项20）④总监理工程师安排监理人员对施工过程进行巡视和检查。对隐蔽工程的隐蔽过程、下道工序施工完成后难以检查的重点部位，专业监理工程师应安排监理员进行旁站并拍照存档。</w:t>
      </w:r>
    </w:p>
    <w:p w14:paraId="4CA55F5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21）⑤专业监理工程师应根据承包单位报送的隐蔽工程报验申请表和自检结果进行现场检查，符合要求予以签认。对未经监理人员验收或验收不合格的工序，监理人员应拒绝签认，并要求承包单位严禁进行下一道工序的施工。</w:t>
      </w:r>
    </w:p>
    <w:p w14:paraId="1B4B79B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22）⑥专业监理工程师应对承包单位报送的分项工程质量验评资料进行审核，符合要求后予以签认；总监理工程师应组织监理人员对承包单位报送的分部工程和单位工程质量验评资料进行审核和现场检查，符合要求后予以签认。</w:t>
      </w:r>
    </w:p>
    <w:p w14:paraId="694AD00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（项23）⑦对施工过程中出现的质量缺陷，专业监理工程师应及时下达监理工程师通知，要求承包单位整改，并检查整改结果。</w:t>
      </w:r>
    </w:p>
    <w:p w14:paraId="1F20A15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24）⑧监理人员发现施工存在重大质量隐患，可能造成质量事故或已经造成质量事故，应通过总监理工程师及时下达工程暂停令，要求承包单位停工整改。整改完毕并经监理人员复查，符合规定要求后，总监理工程师应及时签署工程复工报审表。总监理工程师下达工程暂停令和签署工程复工报审表，应事先向建设单位报告。</w:t>
      </w:r>
    </w:p>
    <w:p w14:paraId="36C4D2B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25）⑨对需要返工处理或加固补强的质量事故，总监理工程师应责令承包单位报送质量事故调查报告和经设计单位等相关单位认可的处理方案，项目监理机构应对质量事故的处理过程和处理结果进行跟踪检查和验收。总监理工程师应及时向建设单位及本监理单位提交有关质量事故的书面报告，并应将完整的质量事故处理记录整理归档。</w:t>
      </w:r>
    </w:p>
    <w:p w14:paraId="55090DF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（3）进度控制</w:t>
      </w:r>
    </w:p>
    <w:p w14:paraId="1DC1495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26）①项目监理机构应按程序进行工程进度控制。专业监理工程师应依据施工合同有关条款、施工图及经过批准的施工组织设计制定进度控制方案，对进度目标进行风险分析，制定防范性对策，经总监理工程师审定后报送建设单位。</w:t>
      </w:r>
    </w:p>
    <w:p w14:paraId="4D0DBBA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27）②专业监理工程师应检查进度计划的实施，并记录实际进度及其相关情况，当发现实际进度滞后于计划进度时，应签发监理工程师通知单指令承包单位采取调整措施。当实际进度严重滞后于计划进度时应及时报总监理工程师，由总监理工程师与建设单位商定采取进一步措施。</w:t>
      </w:r>
    </w:p>
    <w:p w14:paraId="7A4377E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（项28）③总监理工程师应在监理月报中向建设单位报告工程进度和所采取进度控制措施的执行情况，并提出合理预防由建设单位原因导致的工程延期及其相关费用索赔的建议。</w:t>
      </w:r>
    </w:p>
    <w:p w14:paraId="2DF2869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（4）投资控制</w:t>
      </w:r>
    </w:p>
    <w:p w14:paraId="1BEEEFF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（项29）①通过对项目实施方案的把关，确保投资控制在计划范围内合理使用；</w:t>
      </w:r>
    </w:p>
    <w:p w14:paraId="0083EFF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（项30）②当发现资金使用严重偏离计划时，应及时指出，并提出对策建议，同时督促施工单位尽快采取措施。</w:t>
      </w:r>
    </w:p>
    <w:p w14:paraId="60AC114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（5）项目安全的管理</w:t>
      </w:r>
    </w:p>
    <w:p w14:paraId="27EA996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（项31）①负责监督项目建设过程中所涉及的政府数据和资料的安全保护，保证不被非授权使用；</w:t>
      </w:r>
    </w:p>
    <w:p w14:paraId="4DDCFD3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（项32）②负责项目建设施工过程中安全控制，确保不出现安全事故。</w:t>
      </w:r>
    </w:p>
    <w:p w14:paraId="1C28071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（项33）（6）合同管理</w:t>
      </w:r>
    </w:p>
    <w:p w14:paraId="3F83DC7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①协助采购人与施工单位签订合同；</w:t>
      </w:r>
    </w:p>
    <w:p w14:paraId="50CDBF5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②跟踪检查合同的执行情况，确保施工单位按时履约；</w:t>
      </w:r>
    </w:p>
    <w:p w14:paraId="3EBE2E4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③对合同工期的延误和延期进行解释，协助采购人处理项目实施的每个过程出现的合同变更、违约、索赔、延期、分包、纠纷调解及仲裁等问题；</w:t>
      </w:r>
    </w:p>
    <w:p w14:paraId="17F153E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④根据合同约定，对施工单位提交的付款申请，提出付款建议；</w:t>
      </w:r>
    </w:p>
    <w:p w14:paraId="0A7AB79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（项34）（7）信息管理</w:t>
      </w:r>
    </w:p>
    <w:p w14:paraId="044AC85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①及时向采购人提交反映项目动态和监理工作情况的项目文档；</w:t>
      </w:r>
    </w:p>
    <w:p w14:paraId="57ECA74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②建立全面、准确反映项目各阶段工程状况的图表、文档，收集、管理项目各类文档和资料；</w:t>
      </w:r>
    </w:p>
    <w:p w14:paraId="6BAFF40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③督促、检查开发商及时完成各阶段设备资料、工程技术资料的整理和归档工作；</w:t>
      </w:r>
    </w:p>
    <w:p w14:paraId="5AB4767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④转发采购人发出的一切指示、通知和业务联系单。</w:t>
      </w:r>
    </w:p>
    <w:p w14:paraId="6C58984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（项35）3、工程验收阶段</w:t>
      </w:r>
    </w:p>
    <w:p w14:paraId="2B371D3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监督各方做好验收准备；督促项目施工单位制定验收方案，审查验收方案、计划；检查、审核施工单位的最终交付物是否完整、齐备，是否符合合同的约定，是否已经按照指定的时间和方式提交给采购人；监督检查系统的试运行阶段，提交试运行阶段监理监控报告；监督检查工程是否已经完成合同中所规定的各项内容；监督检查工程是否已经满足合同中的各项技术、应用指标；检查最终交付系统是否已经经过验收测试，各项性能、功能是否已经达到设计要求，并处于正常工作状态；检查所交付系统的用户化工作是否已经完成，合同中提及的相关培训是否已经完成，相关资料是否已经提交；协助撰写项目竣工报告；进行监理总结，移交监理资料和其他有关资料，具体如下：</w:t>
      </w:r>
    </w:p>
    <w:p w14:paraId="2F9BCD4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（1）对施工单位在试运行阶段出现的问题的整改情况进行监督和复查；</w:t>
      </w:r>
    </w:p>
    <w:p w14:paraId="7304590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（2）监督检查施工单位作好用户培训工作，检查工程各式用户文档；</w:t>
      </w:r>
    </w:p>
    <w:p w14:paraId="07769BA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（3）组织工程初步验收；</w:t>
      </w:r>
    </w:p>
    <w:p w14:paraId="06C0531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（4）审查施工单位提交的竣工文档；</w:t>
      </w:r>
    </w:p>
    <w:p w14:paraId="23108DE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（5）参与工程竣工验收；</w:t>
      </w:r>
    </w:p>
    <w:p w14:paraId="42051C5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（6）签署工程验收报告；</w:t>
      </w:r>
    </w:p>
    <w:p w14:paraId="137DB7F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（7）审核工程结算；</w:t>
      </w:r>
    </w:p>
    <w:p w14:paraId="50187C8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（8）审查施工单位阶段工程款支付申请，提出监理意见；</w:t>
      </w:r>
    </w:p>
    <w:p w14:paraId="7D558B0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（9）向采购人提交监理工作总结；</w:t>
      </w:r>
    </w:p>
    <w:p w14:paraId="3951C5A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（10）将所有的监理材料汇总，编制监理业务手册，提交采购人；</w:t>
      </w:r>
    </w:p>
    <w:p w14:paraId="453B26B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（11）工程验收完毕进入保修阶段的审核与签发移交证书。</w:t>
      </w:r>
    </w:p>
    <w:p w14:paraId="2182E73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（项36）4、工程移交阶段</w:t>
      </w:r>
    </w:p>
    <w:p w14:paraId="6580EEE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（1）设计方案、设计图纸的全部移交；</w:t>
      </w:r>
    </w:p>
    <w:p w14:paraId="03ACFA6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（2）设备、软件、材料等的验收文档核实；</w:t>
      </w:r>
    </w:p>
    <w:p w14:paraId="4B4A9BD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（3）工程施工文档的移交；</w:t>
      </w:r>
    </w:p>
    <w:p w14:paraId="6D75B70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（4）工程竣工文档的移交；</w:t>
      </w:r>
    </w:p>
    <w:p w14:paraId="57DE982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（5）工程项目的整体移交。</w:t>
      </w:r>
    </w:p>
    <w:p w14:paraId="54AB783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5、质量保修期</w:t>
      </w:r>
    </w:p>
    <w:p w14:paraId="479438F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（项37）（1）监理单位应依据委托监理合同约定的工程质量保修期监理工作的时间、范围和内容开展工作。</w:t>
      </w:r>
    </w:p>
    <w:p w14:paraId="50B0EA1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（项38）（2）承担质量保修期监理工作时，监理单位应安排监理人员对建设单位提出的工程质量缺陷进行检查和记录，对承包单位进行修复的工程质量进行验收，合格后予以签认。</w:t>
      </w:r>
    </w:p>
    <w:p w14:paraId="50BF906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（项39）（3）监理人员应对工程质量缺陷原因进行调查分析并确定责任归属，对非承包单位原因造成的工程质量缺陷，监理人员应核实修复工程的费用和签署工程款支付证书，并报建设单位。</w:t>
      </w:r>
    </w:p>
    <w:p w14:paraId="4D79DDF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（项40）（三）服务方式</w:t>
      </w:r>
    </w:p>
    <w:p w14:paraId="2859CE5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要求以现场监理为主要方式进行，供应商应派总监理工程师和监理工程师按采购人要求建立项目监理机构，负责整个项目的全程监理工作。</w:t>
      </w:r>
    </w:p>
    <w:p w14:paraId="0543E50C">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sz w:val="28"/>
          <w:szCs w:val="28"/>
        </w:rPr>
        <w:t>★</w:t>
      </w:r>
      <w:r>
        <w:rPr>
          <w:rFonts w:hint="eastAsia" w:ascii="宋体" w:hAnsi="宋体" w:eastAsia="宋体" w:cs="宋体"/>
          <w:kern w:val="2"/>
          <w:sz w:val="28"/>
          <w:szCs w:val="28"/>
          <w:lang w:val="en-US" w:eastAsia="zh-CN" w:bidi="ar-SA"/>
        </w:rPr>
        <w:t>（四）供应商资格要求</w:t>
      </w:r>
    </w:p>
    <w:p w14:paraId="1D74B6D1">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为确保本次项目保质保量完成，供应商应满足以下要求：</w:t>
      </w:r>
    </w:p>
    <w:p w14:paraId="6171C323">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(1)供应商具备合格有效的《营业执照》，并具有独立法人资格。</w:t>
      </w:r>
    </w:p>
    <w:p w14:paraId="2BCE5E09">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资质要求:①企业资质：供应商具备有效的文物局颁发的文物保护工程监理乙级或以上的资质证书（要求拟推荐中标候选人责任监理师数量应满足其所持监理资质证书（本项目所需专业工程类别）对应的监理资质标准要求）。②拟任总监理工程师须具备中国古迹遗址保护协会颁发的文物保护责任监理师证书。</w:t>
      </w:r>
    </w:p>
    <w:p w14:paraId="59B39EA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）派遣人员要求</w:t>
      </w:r>
    </w:p>
    <w:p w14:paraId="11C41C6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kern w:val="2"/>
          <w:sz w:val="28"/>
          <w:szCs w:val="28"/>
          <w:lang w:val="en-US" w:eastAsia="zh-CN" w:bidi="ar-SA"/>
        </w:rPr>
        <w:t>为确保本次项目保质保量完成</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除为本项目配备总监理工程师外还须配备以下主要人员：</w:t>
      </w:r>
    </w:p>
    <w:tbl>
      <w:tblPr>
        <w:tblStyle w:val="10"/>
        <w:tblW w:w="9345" w:type="dxa"/>
        <w:tblInd w:w="105" w:type="dxa"/>
        <w:tblLayout w:type="fixed"/>
        <w:tblCellMar>
          <w:top w:w="0" w:type="dxa"/>
          <w:left w:w="57" w:type="dxa"/>
          <w:bottom w:w="0" w:type="dxa"/>
          <w:right w:w="57" w:type="dxa"/>
        </w:tblCellMar>
      </w:tblPr>
      <w:tblGrid>
        <w:gridCol w:w="2205"/>
        <w:gridCol w:w="840"/>
        <w:gridCol w:w="6300"/>
      </w:tblGrid>
      <w:tr w14:paraId="6E35F1BB">
        <w:tblPrEx>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AE1025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岗位名称</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B9FAFD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人数</w:t>
            </w:r>
          </w:p>
        </w:tc>
        <w:tc>
          <w:tcPr>
            <w:tcW w:w="63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AEDDC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最低资历要求</w:t>
            </w:r>
          </w:p>
        </w:tc>
      </w:tr>
      <w:tr w14:paraId="07103E75">
        <w:tblPrEx>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AFB69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专业监理工程师</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853149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tc>
        <w:tc>
          <w:tcPr>
            <w:tcW w:w="6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8458D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具备省级（或以上）文物行政主管部门颁发有效的文物保护工程监理岗位培训证书或中国古迹遗址保护协会颁发的文物保护责任监理师证书。</w:t>
            </w:r>
          </w:p>
        </w:tc>
      </w:tr>
      <w:tr w14:paraId="096CE005">
        <w:tblPrEx>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D2E1B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监理员</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7AF3DB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tc>
        <w:tc>
          <w:tcPr>
            <w:tcW w:w="6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61183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具备省级（或以上）文物行政主管部门颁发有效的文物保护工程监理岗位培训证书或中国古迹遗址保护协会颁发的文物保护责任监理师证书。</w:t>
            </w:r>
          </w:p>
        </w:tc>
      </w:tr>
    </w:tbl>
    <w:p w14:paraId="0861F996">
      <w:pPr>
        <w:keepNext w:val="0"/>
        <w:keepLines w:val="0"/>
        <w:pageBreakBefore w:val="0"/>
        <w:widowControl w:val="0"/>
        <w:kinsoku/>
        <w:wordWrap/>
        <w:overflowPunct/>
        <w:topLinePunct w:val="0"/>
        <w:autoSpaceDE/>
        <w:autoSpaceDN/>
        <w:bidi w:val="0"/>
        <w:adjustRightInd/>
        <w:snapToGrid/>
        <w:spacing w:line="480" w:lineRule="exact"/>
        <w:textAlignment w:val="auto"/>
        <w:outlineLvl w:val="9"/>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于" w:date="2025-02-06T17:19:29Z" w:initials="">
    <w:p w14:paraId="34C6537E">
      <w:pPr>
        <w:pStyle w:val="9"/>
        <w:rPr>
          <w:rFonts w:hint="eastAsia" w:eastAsiaTheme="minorEastAsia"/>
          <w:lang w:eastAsia="zh-CN"/>
        </w:rPr>
      </w:pPr>
      <w:r>
        <w:rPr>
          <w:rFonts w:hint="eastAsia"/>
          <w:lang w:eastAsia="zh-CN"/>
        </w:rPr>
        <w:t>请确认修改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C653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
    <w15:presenceInfo w15:providerId="None" w15:userId="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52AA"/>
    <w:rsid w:val="02666D29"/>
    <w:rsid w:val="02D40E8A"/>
    <w:rsid w:val="02E71185"/>
    <w:rsid w:val="03CB0E62"/>
    <w:rsid w:val="04386C99"/>
    <w:rsid w:val="04D17E63"/>
    <w:rsid w:val="04FB2CCC"/>
    <w:rsid w:val="05501155"/>
    <w:rsid w:val="0599083A"/>
    <w:rsid w:val="07616CA8"/>
    <w:rsid w:val="0B9B4CA1"/>
    <w:rsid w:val="0FE06546"/>
    <w:rsid w:val="103059DC"/>
    <w:rsid w:val="120B6464"/>
    <w:rsid w:val="126D3BAB"/>
    <w:rsid w:val="1298466E"/>
    <w:rsid w:val="14C117E8"/>
    <w:rsid w:val="14D8257B"/>
    <w:rsid w:val="16EB6CA3"/>
    <w:rsid w:val="18B42B5C"/>
    <w:rsid w:val="191B58FA"/>
    <w:rsid w:val="1A1C11EC"/>
    <w:rsid w:val="1ABC2A1E"/>
    <w:rsid w:val="1B8A3B4F"/>
    <w:rsid w:val="1F530027"/>
    <w:rsid w:val="1FAE6C2B"/>
    <w:rsid w:val="20B27B1C"/>
    <w:rsid w:val="233260CD"/>
    <w:rsid w:val="236579DB"/>
    <w:rsid w:val="251E091D"/>
    <w:rsid w:val="260F7EFC"/>
    <w:rsid w:val="262F3FBB"/>
    <w:rsid w:val="2656088C"/>
    <w:rsid w:val="26F3482D"/>
    <w:rsid w:val="295E6ECB"/>
    <w:rsid w:val="29785415"/>
    <w:rsid w:val="2C027257"/>
    <w:rsid w:val="2C8531C5"/>
    <w:rsid w:val="2D106693"/>
    <w:rsid w:val="2ED33CB9"/>
    <w:rsid w:val="31227FA0"/>
    <w:rsid w:val="31604827"/>
    <w:rsid w:val="320746D3"/>
    <w:rsid w:val="357128F8"/>
    <w:rsid w:val="363303B1"/>
    <w:rsid w:val="37373796"/>
    <w:rsid w:val="38B856E8"/>
    <w:rsid w:val="3ABC66EA"/>
    <w:rsid w:val="3B863C2F"/>
    <w:rsid w:val="41F514C4"/>
    <w:rsid w:val="42960919"/>
    <w:rsid w:val="44C973F5"/>
    <w:rsid w:val="456358E9"/>
    <w:rsid w:val="46B904FA"/>
    <w:rsid w:val="497B19AB"/>
    <w:rsid w:val="4B2F08A8"/>
    <w:rsid w:val="4B5212C1"/>
    <w:rsid w:val="4CB74319"/>
    <w:rsid w:val="4D646866"/>
    <w:rsid w:val="4F267783"/>
    <w:rsid w:val="505E35BF"/>
    <w:rsid w:val="5258675C"/>
    <w:rsid w:val="52710931"/>
    <w:rsid w:val="52FA6A02"/>
    <w:rsid w:val="551841E8"/>
    <w:rsid w:val="557178F4"/>
    <w:rsid w:val="578D69B3"/>
    <w:rsid w:val="58793E8B"/>
    <w:rsid w:val="591C17BD"/>
    <w:rsid w:val="5B1509BE"/>
    <w:rsid w:val="5F7A49F8"/>
    <w:rsid w:val="62AA2412"/>
    <w:rsid w:val="62AA7788"/>
    <w:rsid w:val="64096509"/>
    <w:rsid w:val="659E5E22"/>
    <w:rsid w:val="670D1A43"/>
    <w:rsid w:val="6732275B"/>
    <w:rsid w:val="6ADD5BAD"/>
    <w:rsid w:val="6AF607A1"/>
    <w:rsid w:val="6F545EDE"/>
    <w:rsid w:val="7089172A"/>
    <w:rsid w:val="747A5CF2"/>
    <w:rsid w:val="76A23795"/>
    <w:rsid w:val="77BC27C1"/>
    <w:rsid w:val="7A235D6D"/>
    <w:rsid w:val="7F870126"/>
    <w:rsid w:val="7FEC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8"/>
    <w:qFormat/>
    <w:uiPriority w:val="99"/>
    <w:pPr>
      <w:keepNext/>
      <w:keepLines/>
      <w:tabs>
        <w:tab w:val="left" w:pos="567"/>
      </w:tabs>
      <w:spacing w:before="260" w:after="260" w:line="413" w:lineRule="auto"/>
      <w:ind w:left="567" w:hanging="567"/>
      <w:jc w:val="center"/>
      <w:outlineLvl w:val="1"/>
    </w:pPr>
    <w:rPr>
      <w:rFonts w:ascii="CG Times" w:hAnsi="CG Times"/>
      <w:b/>
      <w:kern w:val="0"/>
      <w:sz w:val="20"/>
      <w:szCs w:val="20"/>
    </w:rPr>
  </w:style>
  <w:style w:type="paragraph" w:styleId="5">
    <w:name w:val="heading 3"/>
    <w:basedOn w:val="1"/>
    <w:next w:val="1"/>
    <w:semiHidden/>
    <w:unhideWhenUsed/>
    <w:qFormat/>
    <w:uiPriority w:val="0"/>
    <w:pPr>
      <w:spacing w:before="0" w:after="0"/>
      <w:outlineLvl w:val="2"/>
    </w:pPr>
    <w:rPr>
      <w:bCs/>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rPr>
      <w:rFonts w:ascii="Calibri" w:hAnsi="Calibri"/>
    </w:rPr>
  </w:style>
  <w:style w:type="paragraph" w:styleId="3">
    <w:name w:val="Body Text Indent"/>
    <w:basedOn w:val="1"/>
    <w:next w:val="4"/>
    <w:unhideWhenUsed/>
    <w:qFormat/>
    <w:uiPriority w:val="99"/>
    <w:pPr>
      <w:spacing w:after="120"/>
      <w:ind w:left="420" w:leftChars="200"/>
    </w:pPr>
    <w:rPr>
      <w:color w:val="000000"/>
      <w:kern w:val="10"/>
      <w:szCs w:val="21"/>
    </w:rPr>
  </w:style>
  <w:style w:type="paragraph" w:customStyle="1" w:styleId="4">
    <w:name w:val="样式 标题 3 + (中文) 黑体 小四 非加粗 段前: 7.8 磅 段后: 0 磅 行距: 固定值 20 磅"/>
    <w:basedOn w:val="5"/>
    <w:qFormat/>
    <w:uiPriority w:val="0"/>
    <w:pPr>
      <w:numPr>
        <w:ilvl w:val="0"/>
        <w:numId w:val="0"/>
      </w:numPr>
      <w:spacing w:beforeAutospacing="1" w:afterAutospacing="1" w:line="400" w:lineRule="exact"/>
      <w:jc w:val="left"/>
    </w:pPr>
    <w:rPr>
      <w:rFonts w:hint="eastAsia" w:ascii="Times New Roman" w:hAnsi="Times New Roman" w:eastAsia="黑体" w:cs="宋体"/>
      <w:szCs w:val="20"/>
    </w:rPr>
  </w:style>
  <w:style w:type="paragraph" w:customStyle="1" w:styleId="6">
    <w:name w:val="正文格式"/>
    <w:basedOn w:val="1"/>
    <w:qFormat/>
    <w:uiPriority w:val="0"/>
    <w:pPr>
      <w:tabs>
        <w:tab w:val="left" w:pos="992"/>
      </w:tabs>
      <w:ind w:firstLine="200" w:firstLineChars="200"/>
    </w:pPr>
    <w:rPr>
      <w:rFonts w:ascii="宋体" w:hAnsi="宋体"/>
      <w:sz w:val="28"/>
    </w:rPr>
  </w:style>
  <w:style w:type="paragraph" w:styleId="8">
    <w:name w:val="Normal Indent"/>
    <w:basedOn w:val="1"/>
    <w:next w:val="1"/>
    <w:qFormat/>
    <w:uiPriority w:val="0"/>
    <w:pPr>
      <w:ind w:firstLine="420"/>
    </w:pPr>
    <w:rPr>
      <w:rFonts w:ascii="Times New Roman" w:hAnsi="Times New Roman"/>
      <w:kern w:val="0"/>
      <w:sz w:val="20"/>
      <w:szCs w:val="20"/>
    </w:rPr>
  </w:style>
  <w:style w:type="paragraph" w:styleId="9">
    <w:name w:val="annotation text"/>
    <w:basedOn w:val="1"/>
    <w:semiHidden/>
    <w:unhideWhenUsed/>
    <w:qFormat/>
    <w:uiPriority w:val="99"/>
    <w:pPr>
      <w:jc w:val="left"/>
    </w:pPr>
  </w:style>
  <w:style w:type="paragraph" w:customStyle="1" w:styleId="12">
    <w:name w:val="null3"/>
    <w:qFormat/>
    <w:uiPriority w:val="0"/>
    <w:rPr>
      <w:rFonts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7241</Words>
  <Characters>7389</Characters>
  <Lines>0</Lines>
  <Paragraphs>0</Paragraphs>
  <TotalTime>2</TotalTime>
  <ScaleCrop>false</ScaleCrop>
  <LinksUpToDate>false</LinksUpToDate>
  <CharactersWithSpaces>7393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姚峰</cp:lastModifiedBy>
  <cp:lastPrinted>2025-08-01T10:36:00Z</cp:lastPrinted>
  <dcterms:modified xsi:type="dcterms:W3CDTF">2025-08-14T02:02:59Z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eyJoZGlkIjoiMWE0NjBlNGExNjUyMDk3ODNkYTFjMGUyYjNjYjcyNmQiLCJ1c2VySWQiOiIyMTUyOTE3MDMifQ==</vt:lpwstr>
  </property>
  <property fmtid="{D5CDD505-2E9C-101B-9397-08002B2CF9AE}" pid="4" name="ICV">
    <vt:lpwstr>A8FA3188532C45B9AB29F054F0EBF60E_13</vt:lpwstr>
  </property>
</Properties>
</file>